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B9" w:rsidRPr="003366B9" w:rsidRDefault="003366B9" w:rsidP="003366B9">
      <w:pPr>
        <w:pStyle w:val="51"/>
        <w:keepNext/>
        <w:suppressLineNumbers/>
        <w:tabs>
          <w:tab w:val="left" w:pos="6096"/>
        </w:tabs>
        <w:suppressAutoHyphens/>
        <w:spacing w:before="0" w:after="0"/>
        <w:jc w:val="center"/>
        <w:outlineLvl w:val="4"/>
        <w:rPr>
          <w:b/>
          <w:sz w:val="24"/>
          <w:szCs w:val="24"/>
          <w:lang w:val="ru-RU"/>
        </w:rPr>
      </w:pPr>
      <w:r w:rsidRPr="003366B9">
        <w:rPr>
          <w:b/>
          <w:sz w:val="24"/>
          <w:szCs w:val="24"/>
          <w:lang w:val="ru-RU"/>
        </w:rPr>
        <w:t>ИНСТРУКЦИЯ</w:t>
      </w:r>
    </w:p>
    <w:p w:rsidR="003366B9" w:rsidRPr="003366B9" w:rsidRDefault="003366B9" w:rsidP="003366B9">
      <w:pPr>
        <w:pStyle w:val="1"/>
        <w:keepNext/>
        <w:suppressLineNumbers/>
        <w:suppressAutoHyphens/>
        <w:jc w:val="center"/>
        <w:rPr>
          <w:b/>
          <w:sz w:val="24"/>
          <w:szCs w:val="24"/>
          <w:lang w:val="ru-RU"/>
        </w:rPr>
      </w:pPr>
      <w:r w:rsidRPr="003366B9">
        <w:rPr>
          <w:b/>
          <w:sz w:val="24"/>
          <w:szCs w:val="24"/>
          <w:lang w:val="ru-RU"/>
        </w:rPr>
        <w:t>по применению лекарственного препарата для медицинского применения</w:t>
      </w:r>
    </w:p>
    <w:p w:rsidR="003366B9" w:rsidRPr="003366B9" w:rsidRDefault="003366B9" w:rsidP="003366B9">
      <w:pPr>
        <w:keepNext/>
        <w:suppressLineNumbers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366B9">
        <w:rPr>
          <w:rFonts w:ascii="Times New Roman" w:hAnsi="Times New Roman"/>
          <w:b/>
          <w:sz w:val="24"/>
          <w:szCs w:val="24"/>
        </w:rPr>
        <w:t>Найз</w:t>
      </w:r>
      <w:r w:rsidRPr="003366B9">
        <w:rPr>
          <w:rFonts w:ascii="Times New Roman" w:hAnsi="Times New Roman"/>
          <w:b/>
          <w:sz w:val="24"/>
          <w:szCs w:val="24"/>
          <w:vertAlign w:val="superscript"/>
        </w:rPr>
        <w:t>®</w:t>
      </w:r>
    </w:p>
    <w:p w:rsidR="003366B9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sz w:val="24"/>
          <w:szCs w:val="24"/>
        </w:rPr>
      </w:pPr>
      <w:r w:rsidRPr="003366B9">
        <w:rPr>
          <w:rFonts w:ascii="Times New Roman" w:hAnsi="Times New Roman"/>
          <w:b/>
          <w:sz w:val="24"/>
          <w:szCs w:val="24"/>
        </w:rPr>
        <w:t>Регистрационный номер:</w:t>
      </w:r>
      <w:r w:rsidRPr="003366B9">
        <w:rPr>
          <w:rFonts w:ascii="Times New Roman" w:hAnsi="Times New Roman"/>
          <w:sz w:val="24"/>
          <w:szCs w:val="24"/>
        </w:rPr>
        <w:t xml:space="preserve"> </w:t>
      </w:r>
      <w:r w:rsidRPr="003366B9">
        <w:rPr>
          <w:rFonts w:ascii="Times New Roman" w:hAnsi="Times New Roman"/>
          <w:b/>
          <w:sz w:val="24"/>
          <w:szCs w:val="24"/>
        </w:rPr>
        <w:t>П N012824/03</w:t>
      </w:r>
    </w:p>
    <w:p w:rsidR="0042776A" w:rsidRPr="003366B9" w:rsidRDefault="0042776A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</w:p>
    <w:p w:rsidR="003366B9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66B9">
        <w:rPr>
          <w:rFonts w:ascii="Times New Roman" w:hAnsi="Times New Roman"/>
          <w:b/>
          <w:sz w:val="24"/>
          <w:szCs w:val="24"/>
        </w:rPr>
        <w:t>Торговое название препарата</w:t>
      </w:r>
      <w:r w:rsidRPr="003366B9">
        <w:rPr>
          <w:rFonts w:ascii="Times New Roman" w:hAnsi="Times New Roman"/>
          <w:sz w:val="24"/>
          <w:szCs w:val="24"/>
        </w:rPr>
        <w:t>: Найз</w:t>
      </w:r>
      <w:r w:rsidRPr="003366B9">
        <w:rPr>
          <w:rFonts w:ascii="Times New Roman" w:hAnsi="Times New Roman"/>
          <w:sz w:val="24"/>
          <w:szCs w:val="24"/>
          <w:vertAlign w:val="superscript"/>
        </w:rPr>
        <w:t>®</w:t>
      </w:r>
    </w:p>
    <w:p w:rsidR="0042776A" w:rsidRPr="003366B9" w:rsidRDefault="0042776A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</w:p>
    <w:p w:rsidR="003366B9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b/>
          <w:sz w:val="24"/>
          <w:szCs w:val="24"/>
        </w:rPr>
        <w:t>Международное непатентованное название препарата:</w:t>
      </w:r>
      <w:r w:rsidRPr="003366B9">
        <w:rPr>
          <w:rFonts w:ascii="Times New Roman" w:hAnsi="Times New Roman"/>
          <w:sz w:val="24"/>
          <w:szCs w:val="24"/>
        </w:rPr>
        <w:t xml:space="preserve"> нимесулид. </w:t>
      </w:r>
    </w:p>
    <w:p w:rsidR="0042776A" w:rsidRPr="003366B9" w:rsidRDefault="0042776A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</w:p>
    <w:p w:rsidR="003366B9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b/>
          <w:sz w:val="24"/>
          <w:szCs w:val="24"/>
        </w:rPr>
        <w:t>Лекарственная форма:</w:t>
      </w:r>
      <w:r w:rsidRPr="003366B9">
        <w:rPr>
          <w:rFonts w:ascii="Times New Roman" w:hAnsi="Times New Roman"/>
          <w:sz w:val="24"/>
          <w:szCs w:val="24"/>
        </w:rPr>
        <w:t xml:space="preserve"> таблетки</w:t>
      </w:r>
    </w:p>
    <w:p w:rsidR="0042776A" w:rsidRPr="003366B9" w:rsidRDefault="0042776A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</w:p>
    <w:p w:rsidR="00FA5B53" w:rsidRPr="00FA5B53" w:rsidRDefault="00FA5B53" w:rsidP="00FA5B5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5B53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</w:p>
    <w:p w:rsidR="00FA5B53" w:rsidRPr="00FA5B53" w:rsidRDefault="00FA5B53" w:rsidP="00FA5B5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>Каждая таблетка содержит:</w:t>
      </w:r>
    </w:p>
    <w:p w:rsidR="00FA5B53" w:rsidRPr="00FA5B53" w:rsidRDefault="00FA5B53" w:rsidP="00FA5B5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B53">
        <w:rPr>
          <w:rFonts w:ascii="Times New Roman" w:eastAsia="Times New Roman" w:hAnsi="Times New Roman"/>
          <w:i/>
          <w:sz w:val="24"/>
          <w:szCs w:val="24"/>
          <w:lang w:eastAsia="ru-RU"/>
        </w:rPr>
        <w:t>Действующее вещество:</w:t>
      </w:r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>нимесулид</w:t>
      </w:r>
      <w:proofErr w:type="spellEnd"/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 xml:space="preserve"> 100 мг. </w:t>
      </w:r>
    </w:p>
    <w:p w:rsidR="00FA5B53" w:rsidRDefault="00FA5B53" w:rsidP="00FA5B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FA5B53">
        <w:rPr>
          <w:rFonts w:ascii="Times New Roman" w:eastAsia="Times New Roman" w:hAnsi="Times New Roman"/>
          <w:i/>
          <w:sz w:val="24"/>
          <w:szCs w:val="24"/>
          <w:lang w:eastAsia="ru-RU"/>
        </w:rPr>
        <w:t>Вспомогательные вещества:</w:t>
      </w:r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кальция </w:t>
      </w:r>
      <w:proofErr w:type="spellStart"/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>гидрофосфат</w:t>
      </w:r>
      <w:proofErr w:type="spellEnd"/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 xml:space="preserve">, целлюлоза микрокристаллическая (тип 114), крахмал кукурузный, </w:t>
      </w:r>
      <w:proofErr w:type="spellStart"/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>карбоксиметилкрахмал</w:t>
      </w:r>
      <w:proofErr w:type="spellEnd"/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 xml:space="preserve"> натрия, магния </w:t>
      </w:r>
      <w:proofErr w:type="spellStart"/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>стеарат</w:t>
      </w:r>
      <w:proofErr w:type="spellEnd"/>
      <w:r w:rsidRPr="00FA5B53">
        <w:rPr>
          <w:rFonts w:ascii="Times New Roman" w:eastAsia="Times New Roman" w:hAnsi="Times New Roman"/>
          <w:sz w:val="24"/>
          <w:szCs w:val="24"/>
          <w:lang w:eastAsia="ru-RU"/>
        </w:rPr>
        <w:t>, кремния диоксид коллоидный, тальк.</w:t>
      </w:r>
    </w:p>
    <w:p w:rsidR="00FA5B53" w:rsidRPr="003366B9" w:rsidRDefault="00FA5B53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</w:p>
    <w:p w:rsidR="003366B9" w:rsidRPr="003366B9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sz w:val="24"/>
          <w:szCs w:val="24"/>
        </w:rPr>
      </w:pPr>
      <w:r w:rsidRPr="003366B9">
        <w:rPr>
          <w:rFonts w:ascii="Times New Roman" w:hAnsi="Times New Roman"/>
          <w:b/>
          <w:sz w:val="24"/>
          <w:szCs w:val="24"/>
        </w:rPr>
        <w:t>Описание</w:t>
      </w:r>
    </w:p>
    <w:p w:rsidR="003366B9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Белые с желтоватым оттенком  круглые двояковыпуклые таблетки с гладкой поверхностью.</w:t>
      </w:r>
    </w:p>
    <w:p w:rsidR="0042776A" w:rsidRPr="003366B9" w:rsidRDefault="0042776A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</w:p>
    <w:p w:rsidR="003366B9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  <w:r w:rsidRPr="0042776A">
        <w:rPr>
          <w:rFonts w:ascii="Times New Roman" w:hAnsi="Times New Roman"/>
          <w:b/>
          <w:sz w:val="24"/>
          <w:szCs w:val="24"/>
        </w:rPr>
        <w:t>Фармакотерапевтическая группа:</w:t>
      </w:r>
      <w:r w:rsidRPr="003366B9">
        <w:rPr>
          <w:rFonts w:ascii="Times New Roman" w:hAnsi="Times New Roman"/>
          <w:sz w:val="24"/>
          <w:szCs w:val="24"/>
        </w:rPr>
        <w:t xml:space="preserve"> нестероидный противовоспалительный препарат (НПВП).</w:t>
      </w:r>
    </w:p>
    <w:p w:rsidR="0042776A" w:rsidRPr="003366B9" w:rsidRDefault="0042776A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</w:p>
    <w:p w:rsidR="003366B9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  <w:r w:rsidRPr="0042776A">
        <w:rPr>
          <w:rFonts w:ascii="Times New Roman" w:hAnsi="Times New Roman"/>
          <w:b/>
          <w:sz w:val="24"/>
          <w:szCs w:val="24"/>
        </w:rPr>
        <w:t>Код АТХ:</w:t>
      </w:r>
      <w:r w:rsidRPr="003366B9">
        <w:rPr>
          <w:rFonts w:ascii="Times New Roman" w:hAnsi="Times New Roman"/>
          <w:sz w:val="24"/>
          <w:szCs w:val="24"/>
        </w:rPr>
        <w:t xml:space="preserve"> М01АХ17.</w:t>
      </w:r>
    </w:p>
    <w:p w:rsidR="0042776A" w:rsidRPr="003366B9" w:rsidRDefault="0042776A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</w:p>
    <w:p w:rsidR="003366B9" w:rsidRPr="0042776A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sz w:val="24"/>
          <w:szCs w:val="24"/>
        </w:rPr>
      </w:pPr>
      <w:r w:rsidRPr="0042776A">
        <w:rPr>
          <w:rFonts w:ascii="Times New Roman" w:hAnsi="Times New Roman"/>
          <w:b/>
          <w:sz w:val="24"/>
          <w:szCs w:val="24"/>
        </w:rPr>
        <w:t>Фармакологические  свойства</w:t>
      </w:r>
    </w:p>
    <w:p w:rsidR="003366B9" w:rsidRPr="0042776A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42776A">
        <w:rPr>
          <w:rFonts w:ascii="Times New Roman" w:hAnsi="Times New Roman"/>
          <w:b/>
          <w:i/>
          <w:sz w:val="24"/>
          <w:szCs w:val="24"/>
        </w:rPr>
        <w:t>Фармакодинамика</w:t>
      </w:r>
    </w:p>
    <w:p w:rsidR="0042776A" w:rsidRDefault="003366B9" w:rsidP="0042776A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Нестероидный противовоспалительный препарат (НПВП) из к</w:t>
      </w:r>
      <w:r w:rsidR="0042776A">
        <w:rPr>
          <w:rFonts w:ascii="Times New Roman" w:hAnsi="Times New Roman"/>
          <w:sz w:val="24"/>
          <w:szCs w:val="24"/>
        </w:rPr>
        <w:t>ласса сульфонанилидов. Является</w:t>
      </w:r>
    </w:p>
    <w:p w:rsidR="0042776A" w:rsidRDefault="003366B9" w:rsidP="0042776A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селективным конкурентным ингибитором циклооксиге</w:t>
      </w:r>
      <w:r w:rsidR="0042776A">
        <w:rPr>
          <w:rFonts w:ascii="Times New Roman" w:hAnsi="Times New Roman"/>
          <w:sz w:val="24"/>
          <w:szCs w:val="24"/>
        </w:rPr>
        <w:t xml:space="preserve">назы-2 (ЦОГ-2), тормозит синтез </w:t>
      </w:r>
      <w:r w:rsidRPr="003366B9">
        <w:rPr>
          <w:rFonts w:ascii="Times New Roman" w:hAnsi="Times New Roman"/>
          <w:sz w:val="24"/>
          <w:szCs w:val="24"/>
        </w:rPr>
        <w:t>простагландинов в очаге воспаления. Угнетающее влияни</w:t>
      </w:r>
      <w:r w:rsidR="0042776A">
        <w:rPr>
          <w:rFonts w:ascii="Times New Roman" w:hAnsi="Times New Roman"/>
          <w:sz w:val="24"/>
          <w:szCs w:val="24"/>
        </w:rPr>
        <w:t xml:space="preserve">е на ЦОГ-1 менее выражено (реже </w:t>
      </w:r>
      <w:r w:rsidRPr="003366B9">
        <w:rPr>
          <w:rFonts w:ascii="Times New Roman" w:hAnsi="Times New Roman"/>
          <w:sz w:val="24"/>
          <w:szCs w:val="24"/>
        </w:rPr>
        <w:t>вызывает побочные эффекты, связанные с угнетением син</w:t>
      </w:r>
      <w:r w:rsidR="0042776A">
        <w:rPr>
          <w:rFonts w:ascii="Times New Roman" w:hAnsi="Times New Roman"/>
          <w:sz w:val="24"/>
          <w:szCs w:val="24"/>
        </w:rPr>
        <w:t xml:space="preserve">теза простагландинов в здоровых </w:t>
      </w:r>
      <w:r w:rsidRPr="003366B9">
        <w:rPr>
          <w:rFonts w:ascii="Times New Roman" w:hAnsi="Times New Roman"/>
          <w:sz w:val="24"/>
          <w:szCs w:val="24"/>
        </w:rPr>
        <w:t>тканях). Оказывает противовоспалительное, анальгезирую</w:t>
      </w:r>
      <w:r w:rsidR="0042776A">
        <w:rPr>
          <w:rFonts w:ascii="Times New Roman" w:hAnsi="Times New Roman"/>
          <w:sz w:val="24"/>
          <w:szCs w:val="24"/>
        </w:rPr>
        <w:t>щее и выраженное жаропонижающее</w:t>
      </w:r>
    </w:p>
    <w:p w:rsidR="003366B9" w:rsidRPr="003366B9" w:rsidRDefault="003366B9" w:rsidP="0042776A">
      <w:pPr>
        <w:spacing w:after="0" w:line="240" w:lineRule="auto"/>
        <w:ind w:right="-143" w:hanging="567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 xml:space="preserve">действие. </w:t>
      </w:r>
    </w:p>
    <w:p w:rsidR="003366B9" w:rsidRPr="0042776A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42776A">
        <w:rPr>
          <w:rFonts w:ascii="Times New Roman" w:hAnsi="Times New Roman"/>
          <w:b/>
          <w:i/>
          <w:sz w:val="24"/>
          <w:szCs w:val="24"/>
        </w:rPr>
        <w:t>Фармакокинетика</w:t>
      </w:r>
    </w:p>
    <w:p w:rsidR="003366B9" w:rsidRPr="003366B9" w:rsidRDefault="003366B9" w:rsidP="003366B9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Абсорбция при приеме внутрь – высокая (прием пищи снижает скорость абсорбции, не влияя на ее степень). Время достижения максимальной концентрации (</w:t>
      </w:r>
      <w:proofErr w:type="spellStart"/>
      <w:r w:rsidRPr="003366B9">
        <w:rPr>
          <w:rFonts w:ascii="Times New Roman" w:hAnsi="Times New Roman"/>
          <w:sz w:val="24"/>
          <w:szCs w:val="24"/>
        </w:rPr>
        <w:t>T</w:t>
      </w:r>
      <w:r w:rsidRPr="0042776A">
        <w:rPr>
          <w:rFonts w:ascii="Times New Roman" w:hAnsi="Times New Roman"/>
          <w:sz w:val="24"/>
          <w:szCs w:val="24"/>
          <w:vertAlign w:val="subscript"/>
        </w:rPr>
        <w:t>Cmax</w:t>
      </w:r>
      <w:proofErr w:type="spellEnd"/>
      <w:r w:rsidRPr="003366B9">
        <w:rPr>
          <w:rFonts w:ascii="Times New Roman" w:hAnsi="Times New Roman"/>
          <w:sz w:val="24"/>
          <w:szCs w:val="24"/>
        </w:rPr>
        <w:t>) – 1,5</w:t>
      </w:r>
      <w:r w:rsidR="00DE356F" w:rsidRPr="00DE356F">
        <w:rPr>
          <w:rFonts w:ascii="Times New Roman" w:hAnsi="Times New Roman"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2,5 ч. Связь с белками плазмы – 95%, с эритроцитами – 2%, с липопротеинами – 1%, с кислыми альфа1-гликопротеидами – 1%. Изменение дозы не влияет на степень связывания. Величина максимальной концентрации (C</w:t>
      </w:r>
      <w:r w:rsidRPr="0042776A">
        <w:rPr>
          <w:rFonts w:ascii="Times New Roman" w:hAnsi="Times New Roman"/>
          <w:sz w:val="24"/>
          <w:szCs w:val="24"/>
          <w:vertAlign w:val="subscript"/>
        </w:rPr>
        <w:t>max</w:t>
      </w:r>
      <w:r w:rsidRPr="003366B9">
        <w:rPr>
          <w:rFonts w:ascii="Times New Roman" w:hAnsi="Times New Roman"/>
          <w:sz w:val="24"/>
          <w:szCs w:val="24"/>
        </w:rPr>
        <w:t>)  – 3,5</w:t>
      </w:r>
      <w:r w:rsidR="00DE356F" w:rsidRPr="00DE356F">
        <w:rPr>
          <w:rFonts w:ascii="Times New Roman" w:hAnsi="Times New Roman"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6,5 мг/л. Объем распределения – 0,19</w:t>
      </w:r>
      <w:r w:rsidR="00DE356F" w:rsidRPr="00DE356F">
        <w:rPr>
          <w:rFonts w:ascii="Times New Roman" w:hAnsi="Times New Roman"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0,35 л/кг. Проникает в ткани женских половых органов, где после однократного приема его концентрация составляет около 40% от концентрации в плазме. Хорошо проникает в кислую среду очага воспаления (40%), синовиальную жидкость (43%). Легко проникает через гистогематические барьеры.</w:t>
      </w:r>
    </w:p>
    <w:p w:rsidR="003366B9" w:rsidRPr="003366B9" w:rsidRDefault="003366B9" w:rsidP="0042776A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 xml:space="preserve">Метаболизируется в печени тканевыми </w:t>
      </w:r>
      <w:proofErr w:type="spellStart"/>
      <w:r w:rsidRPr="003366B9">
        <w:rPr>
          <w:rFonts w:ascii="Times New Roman" w:hAnsi="Times New Roman"/>
          <w:sz w:val="24"/>
          <w:szCs w:val="24"/>
        </w:rPr>
        <w:t>монооксигеназами</w:t>
      </w:r>
      <w:proofErr w:type="spellEnd"/>
      <w:r w:rsidRPr="003366B9">
        <w:rPr>
          <w:rFonts w:ascii="Times New Roman" w:hAnsi="Times New Roman"/>
          <w:sz w:val="24"/>
          <w:szCs w:val="24"/>
        </w:rPr>
        <w:t>. Основной метаболит – 4</w:t>
      </w:r>
      <w:r w:rsidRPr="0042776A">
        <w:rPr>
          <w:rFonts w:ascii="Times New Roman" w:hAnsi="Times New Roman"/>
          <w:b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гидроксинимесулид (</w:t>
      </w:r>
      <w:r w:rsidRPr="0042776A">
        <w:rPr>
          <w:rFonts w:ascii="Times New Roman" w:hAnsi="Times New Roman"/>
          <w:sz w:val="24"/>
          <w:szCs w:val="24"/>
        </w:rPr>
        <w:t>25%),</w:t>
      </w:r>
      <w:r w:rsidRPr="003366B9">
        <w:rPr>
          <w:rFonts w:ascii="Times New Roman" w:hAnsi="Times New Roman"/>
          <w:sz w:val="24"/>
          <w:szCs w:val="24"/>
        </w:rPr>
        <w:t xml:space="preserve"> обладает сходной фармакологической активностью, но вследствие уменьшения размера молекул способен быстро диффундировать по гидрофобному каналу ЦОГ</w:t>
      </w:r>
      <w:r w:rsidRPr="0042776A">
        <w:rPr>
          <w:rFonts w:ascii="Times New Roman" w:hAnsi="Times New Roman"/>
          <w:b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 xml:space="preserve">2 к активному центру связывания </w:t>
      </w:r>
      <w:proofErr w:type="spellStart"/>
      <w:r w:rsidRPr="003366B9">
        <w:rPr>
          <w:rFonts w:ascii="Times New Roman" w:hAnsi="Times New Roman"/>
          <w:sz w:val="24"/>
          <w:szCs w:val="24"/>
        </w:rPr>
        <w:t>метильной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 группы. 4</w:t>
      </w:r>
      <w:r w:rsidRPr="0042776A">
        <w:rPr>
          <w:rFonts w:ascii="Times New Roman" w:hAnsi="Times New Roman"/>
          <w:b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 xml:space="preserve">гидроксинимесулид является водорастворимым соединением, для выведения которого не требуются </w:t>
      </w:r>
      <w:proofErr w:type="spellStart"/>
      <w:r w:rsidRPr="003366B9">
        <w:rPr>
          <w:rFonts w:ascii="Times New Roman" w:hAnsi="Times New Roman"/>
          <w:sz w:val="24"/>
          <w:szCs w:val="24"/>
        </w:rPr>
        <w:t>глутатион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 и реакции конъюгации II фазы метаболизма (</w:t>
      </w:r>
      <w:proofErr w:type="spellStart"/>
      <w:r w:rsidRPr="003366B9">
        <w:rPr>
          <w:rFonts w:ascii="Times New Roman" w:hAnsi="Times New Roman"/>
          <w:sz w:val="24"/>
          <w:szCs w:val="24"/>
        </w:rPr>
        <w:t>сульфатирование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6B9">
        <w:rPr>
          <w:rFonts w:ascii="Times New Roman" w:hAnsi="Times New Roman"/>
          <w:sz w:val="24"/>
          <w:szCs w:val="24"/>
        </w:rPr>
        <w:t>глюкуронирование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 и другие).</w:t>
      </w:r>
    </w:p>
    <w:p w:rsidR="0028028F" w:rsidRDefault="003366B9" w:rsidP="0042776A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Период полувыведения (T</w:t>
      </w:r>
      <w:r w:rsidRPr="0042776A">
        <w:rPr>
          <w:rFonts w:ascii="Times New Roman" w:hAnsi="Times New Roman"/>
          <w:sz w:val="24"/>
          <w:szCs w:val="24"/>
          <w:vertAlign w:val="subscript"/>
        </w:rPr>
        <w:t>1/2</w:t>
      </w:r>
      <w:r w:rsidRPr="003366B9">
        <w:rPr>
          <w:rFonts w:ascii="Times New Roman" w:hAnsi="Times New Roman"/>
          <w:sz w:val="24"/>
          <w:szCs w:val="24"/>
        </w:rPr>
        <w:t>) нимесулида – 1,56</w:t>
      </w:r>
      <w:r w:rsidR="00DE356F" w:rsidRPr="00DE356F">
        <w:rPr>
          <w:rFonts w:ascii="Times New Roman" w:hAnsi="Times New Roman"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4,95 ч, 4</w:t>
      </w:r>
      <w:r w:rsidRPr="0042776A">
        <w:rPr>
          <w:rFonts w:ascii="Times New Roman" w:hAnsi="Times New Roman"/>
          <w:b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гидроксинимесулида – 2,89</w:t>
      </w:r>
      <w:r w:rsidR="00DE356F" w:rsidRPr="00DE356F">
        <w:rPr>
          <w:rFonts w:ascii="Times New Roman" w:hAnsi="Times New Roman"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4,78 ч.</w:t>
      </w:r>
    </w:p>
    <w:p w:rsidR="003366B9" w:rsidRPr="003366B9" w:rsidRDefault="003366B9" w:rsidP="0042776A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4</w:t>
      </w:r>
      <w:r w:rsidRPr="0042776A">
        <w:rPr>
          <w:rFonts w:ascii="Times New Roman" w:hAnsi="Times New Roman"/>
          <w:b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гидроксинимесулид выводится почками (65%) и с желчью (35%), подвергается энтерогепатической рециркуляции.</w:t>
      </w:r>
    </w:p>
    <w:p w:rsidR="003366B9" w:rsidRDefault="003366B9" w:rsidP="0042776A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lastRenderedPageBreak/>
        <w:t>У больных с почечной недостаточностью (клиренс креатинина 1,8</w:t>
      </w:r>
      <w:r w:rsidR="00DE356F" w:rsidRPr="00DE356F">
        <w:rPr>
          <w:rFonts w:ascii="Times New Roman" w:hAnsi="Times New Roman"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4,8 л/ч или 30</w:t>
      </w:r>
      <w:r w:rsidR="00DE356F" w:rsidRPr="00DE356F">
        <w:rPr>
          <w:rFonts w:ascii="Times New Roman" w:hAnsi="Times New Roman"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80 мл/мин), а также у детей и лиц пожилого возраста фармакокинетический профиль нимесулида существенно не меняется.</w:t>
      </w:r>
    </w:p>
    <w:p w:rsidR="00720E27" w:rsidRPr="003366B9" w:rsidRDefault="00720E27" w:rsidP="0042776A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720E27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sz w:val="24"/>
          <w:szCs w:val="24"/>
        </w:rPr>
      </w:pPr>
      <w:r w:rsidRPr="00720E27">
        <w:rPr>
          <w:rFonts w:ascii="Times New Roman" w:hAnsi="Times New Roman"/>
          <w:b/>
          <w:sz w:val="24"/>
          <w:szCs w:val="24"/>
        </w:rPr>
        <w:t>Показания к применению</w:t>
      </w:r>
    </w:p>
    <w:p w:rsidR="003366B9" w:rsidRPr="00720E27" w:rsidRDefault="003366B9" w:rsidP="00720E27">
      <w:pPr>
        <w:pStyle w:val="a3"/>
        <w:numPr>
          <w:ilvl w:val="0"/>
          <w:numId w:val="1"/>
        </w:numPr>
        <w:spacing w:after="0"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>ревматоидный артрит;</w:t>
      </w:r>
    </w:p>
    <w:p w:rsidR="003366B9" w:rsidRPr="00720E27" w:rsidRDefault="003366B9" w:rsidP="00720E27">
      <w:pPr>
        <w:pStyle w:val="a3"/>
        <w:numPr>
          <w:ilvl w:val="0"/>
          <w:numId w:val="1"/>
        </w:numPr>
        <w:spacing w:after="0"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>суставной синдром при обострении подагры;</w:t>
      </w:r>
    </w:p>
    <w:p w:rsidR="003366B9" w:rsidRPr="00720E27" w:rsidRDefault="003366B9" w:rsidP="00720E27">
      <w:pPr>
        <w:pStyle w:val="a3"/>
        <w:numPr>
          <w:ilvl w:val="0"/>
          <w:numId w:val="1"/>
        </w:numPr>
        <w:spacing w:after="0"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>псориатический артрит;</w:t>
      </w:r>
    </w:p>
    <w:p w:rsidR="003366B9" w:rsidRPr="00720E27" w:rsidRDefault="003366B9" w:rsidP="00720E27">
      <w:pPr>
        <w:pStyle w:val="a3"/>
        <w:numPr>
          <w:ilvl w:val="0"/>
          <w:numId w:val="1"/>
        </w:numPr>
        <w:spacing w:after="0"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>анкилозирующий спондилоартрит;</w:t>
      </w:r>
    </w:p>
    <w:p w:rsidR="003366B9" w:rsidRPr="00720E27" w:rsidRDefault="003366B9" w:rsidP="00720E27">
      <w:pPr>
        <w:pStyle w:val="a3"/>
        <w:numPr>
          <w:ilvl w:val="0"/>
          <w:numId w:val="1"/>
        </w:numPr>
        <w:spacing w:after="0"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>остеохондроз с корешковым синдромом;</w:t>
      </w:r>
    </w:p>
    <w:p w:rsidR="003366B9" w:rsidRPr="00720E27" w:rsidRDefault="003366B9" w:rsidP="00720E27">
      <w:pPr>
        <w:pStyle w:val="a3"/>
        <w:numPr>
          <w:ilvl w:val="0"/>
          <w:numId w:val="1"/>
        </w:numPr>
        <w:spacing w:after="0"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>остеоартроз;</w:t>
      </w:r>
    </w:p>
    <w:p w:rsidR="003366B9" w:rsidRPr="00720E27" w:rsidRDefault="003366B9" w:rsidP="00720E27">
      <w:pPr>
        <w:pStyle w:val="a3"/>
        <w:numPr>
          <w:ilvl w:val="0"/>
          <w:numId w:val="1"/>
        </w:numPr>
        <w:spacing w:after="0"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>миалгия ревматического и неревматического генеза;</w:t>
      </w:r>
    </w:p>
    <w:p w:rsidR="003366B9" w:rsidRPr="00720E27" w:rsidRDefault="003366B9" w:rsidP="00720E27">
      <w:pPr>
        <w:pStyle w:val="a3"/>
        <w:numPr>
          <w:ilvl w:val="0"/>
          <w:numId w:val="1"/>
        </w:numPr>
        <w:spacing w:after="0"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>воспаление связок, сухожилий, бурситы, в том числе посттравматичес</w:t>
      </w:r>
      <w:r w:rsidR="00720E27" w:rsidRPr="00720E27">
        <w:rPr>
          <w:rFonts w:ascii="Times New Roman" w:hAnsi="Times New Roman"/>
          <w:sz w:val="24"/>
          <w:szCs w:val="24"/>
        </w:rPr>
        <w:t xml:space="preserve">кое воспаление мягких </w:t>
      </w:r>
      <w:r w:rsidRPr="00720E27">
        <w:rPr>
          <w:rFonts w:ascii="Times New Roman" w:hAnsi="Times New Roman"/>
          <w:sz w:val="24"/>
          <w:szCs w:val="24"/>
        </w:rPr>
        <w:t>тканей;</w:t>
      </w:r>
    </w:p>
    <w:p w:rsidR="00720E27" w:rsidRDefault="003366B9" w:rsidP="00720E27">
      <w:pPr>
        <w:pStyle w:val="a3"/>
        <w:numPr>
          <w:ilvl w:val="0"/>
          <w:numId w:val="1"/>
        </w:numPr>
        <w:spacing w:line="240" w:lineRule="auto"/>
        <w:ind w:left="-284" w:right="-143" w:hanging="283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 xml:space="preserve">болевой синдром различного генеза (в том числе в послеоперационном периоде, при травмах, альгодисменорея, зубная боль, головная боль, артралгия, </w:t>
      </w:r>
      <w:proofErr w:type="spellStart"/>
      <w:r w:rsidRPr="00720E27">
        <w:rPr>
          <w:rFonts w:ascii="Times New Roman" w:hAnsi="Times New Roman"/>
          <w:sz w:val="24"/>
          <w:szCs w:val="24"/>
        </w:rPr>
        <w:t>люмбоишалгия</w:t>
      </w:r>
      <w:proofErr w:type="spellEnd"/>
      <w:r w:rsidRPr="00720E27">
        <w:rPr>
          <w:rFonts w:ascii="Times New Roman" w:hAnsi="Times New Roman"/>
          <w:sz w:val="24"/>
          <w:szCs w:val="24"/>
        </w:rPr>
        <w:t>).</w:t>
      </w:r>
    </w:p>
    <w:p w:rsidR="003366B9" w:rsidRPr="00720E27" w:rsidRDefault="003366B9" w:rsidP="00720E27">
      <w:pPr>
        <w:pStyle w:val="a3"/>
        <w:spacing w:before="240" w:line="24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 w:rsidRPr="00720E27">
        <w:rPr>
          <w:rFonts w:ascii="Times New Roman" w:hAnsi="Times New Roman"/>
          <w:sz w:val="24"/>
          <w:szCs w:val="24"/>
        </w:rPr>
        <w:t xml:space="preserve">Препарат предназначен для симптоматической терапии, </w:t>
      </w:r>
      <w:r w:rsidR="00720E27" w:rsidRPr="00720E27">
        <w:rPr>
          <w:rFonts w:ascii="Times New Roman" w:hAnsi="Times New Roman"/>
          <w:sz w:val="24"/>
          <w:szCs w:val="24"/>
        </w:rPr>
        <w:t xml:space="preserve">уменьшения боли и воспаления на </w:t>
      </w:r>
      <w:r w:rsidRPr="00720E27">
        <w:rPr>
          <w:rFonts w:ascii="Times New Roman" w:hAnsi="Times New Roman"/>
          <w:sz w:val="24"/>
          <w:szCs w:val="24"/>
        </w:rPr>
        <w:t>момент использования, на прогрессирование заболевания не влияет.</w:t>
      </w:r>
    </w:p>
    <w:p w:rsidR="00720E27" w:rsidRPr="003366B9" w:rsidRDefault="00720E27" w:rsidP="00720E27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720E27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sz w:val="24"/>
          <w:szCs w:val="24"/>
        </w:rPr>
      </w:pPr>
      <w:r w:rsidRPr="00720E27">
        <w:rPr>
          <w:rFonts w:ascii="Times New Roman" w:hAnsi="Times New Roman"/>
          <w:b/>
          <w:sz w:val="24"/>
          <w:szCs w:val="24"/>
        </w:rPr>
        <w:t>Противопоказания</w:t>
      </w:r>
    </w:p>
    <w:p w:rsidR="003366B9" w:rsidRDefault="003366B9" w:rsidP="00720E27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Гиперчувствительность к активному веществу или вспомогательным компонентам; полное или неполное сочетание бронхиальной астмы, рецидивирующего полипоза носа или околоносовых пазух и непереносимости ацетилсалициловой кислоты и других НПВП (в том числе, в анамнезе); эрозивно-язвенные изменения слизистой оболочки желудка и двенадцатиперстной кишки (ДПК), активное желудочно-кишечное кровотечение, цереброваскулярное или иное кровотечение; воспалительные заболевания кишечника (болезнь Крона, неспецифический язвенный колит) в фазе обострения; гемофилия и другие нарушения свертываемости крови; декомпенсированная сердечная недостаточность; печеночная недостаточность или любое активное заболевание печени; анамнестические данные о развитии гепатотоксических реакций при использовании препаратов нимесулида; сопутствующее применение потенциально гепатотоксических веществ; алкоголизм, наркомания; выраженная почечная недостаточность (клиренс креатинина менее 30 мл/мин), прогрессирующие заболевания почек, подтвержденная гиперкалиемия; период после проведения аортокоронарного шунтирования; беременность, период лактации; детский возраст до 12 лет (для данной лекарственной формы см. раздел «Особые указания»).</w:t>
      </w:r>
    </w:p>
    <w:p w:rsidR="00720E27" w:rsidRPr="00720E27" w:rsidRDefault="00720E27" w:rsidP="00720E27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</w:p>
    <w:p w:rsidR="003366B9" w:rsidRPr="00720E27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sz w:val="24"/>
          <w:szCs w:val="24"/>
        </w:rPr>
      </w:pPr>
      <w:r w:rsidRPr="00720E27">
        <w:rPr>
          <w:rFonts w:ascii="Times New Roman" w:hAnsi="Times New Roman"/>
          <w:b/>
          <w:sz w:val="24"/>
          <w:szCs w:val="24"/>
        </w:rPr>
        <w:t>С осторожностью</w:t>
      </w:r>
    </w:p>
    <w:p w:rsidR="003366B9" w:rsidRDefault="003366B9" w:rsidP="00720E27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 xml:space="preserve">Ишемическая болезнь сердца, цереброваскулярные заболевания, застойная сердечная недостаточность, </w:t>
      </w:r>
      <w:proofErr w:type="spellStart"/>
      <w:r w:rsidRPr="003366B9">
        <w:rPr>
          <w:rFonts w:ascii="Times New Roman" w:hAnsi="Times New Roman"/>
          <w:sz w:val="24"/>
          <w:szCs w:val="24"/>
        </w:rPr>
        <w:t>дислипидемия</w:t>
      </w:r>
      <w:proofErr w:type="spellEnd"/>
      <w:r w:rsidRPr="003366B9">
        <w:rPr>
          <w:rFonts w:ascii="Times New Roman" w:hAnsi="Times New Roman"/>
          <w:sz w:val="24"/>
          <w:szCs w:val="24"/>
        </w:rPr>
        <w:t>/</w:t>
      </w:r>
      <w:proofErr w:type="spellStart"/>
      <w:r w:rsidRPr="003366B9">
        <w:rPr>
          <w:rFonts w:ascii="Times New Roman" w:hAnsi="Times New Roman"/>
          <w:sz w:val="24"/>
          <w:szCs w:val="24"/>
        </w:rPr>
        <w:t>гиперлипидемия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, сахарный диабет, заболевания периферических артерий, курение, клиренс креатинина менее 60 мл/мин. Анамнестические данные о развитии язвенного поражения ЖКТ, наличие инфекции </w:t>
      </w:r>
      <w:r w:rsidRPr="00B24A53">
        <w:rPr>
          <w:rFonts w:ascii="Times New Roman" w:hAnsi="Times New Roman"/>
          <w:i/>
          <w:sz w:val="24"/>
          <w:szCs w:val="24"/>
        </w:rPr>
        <w:t>Helicobacter pylori</w:t>
      </w:r>
      <w:r w:rsidRPr="003366B9">
        <w:rPr>
          <w:rFonts w:ascii="Times New Roman" w:hAnsi="Times New Roman"/>
          <w:sz w:val="24"/>
          <w:szCs w:val="24"/>
        </w:rPr>
        <w:t xml:space="preserve">, пожилой возраст, длительное использование НПВП, частое употребление алкоголя, тяжелые соматические заболевания, сопутствующая терапия антикоагулянтами (например, </w:t>
      </w:r>
      <w:proofErr w:type="spellStart"/>
      <w:r w:rsidRPr="003366B9">
        <w:rPr>
          <w:rFonts w:ascii="Times New Roman" w:hAnsi="Times New Roman"/>
          <w:sz w:val="24"/>
          <w:szCs w:val="24"/>
        </w:rPr>
        <w:t>варфарин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366B9">
        <w:rPr>
          <w:rFonts w:ascii="Times New Roman" w:hAnsi="Times New Roman"/>
          <w:sz w:val="24"/>
          <w:szCs w:val="24"/>
        </w:rPr>
        <w:t>антиагрегантами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 (например, ацетилсалициловая кислота, </w:t>
      </w:r>
      <w:proofErr w:type="spellStart"/>
      <w:r w:rsidRPr="003366B9">
        <w:rPr>
          <w:rFonts w:ascii="Times New Roman" w:hAnsi="Times New Roman"/>
          <w:sz w:val="24"/>
          <w:szCs w:val="24"/>
        </w:rPr>
        <w:t>клопидогрел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), пероральными </w:t>
      </w:r>
      <w:proofErr w:type="spellStart"/>
      <w:r w:rsidRPr="003366B9">
        <w:rPr>
          <w:rFonts w:ascii="Times New Roman" w:hAnsi="Times New Roman"/>
          <w:sz w:val="24"/>
          <w:szCs w:val="24"/>
        </w:rPr>
        <w:t>глюкокортикостероидами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 (например, преднизолон), селективными ингибиторами обратного захвата серотонина (например, </w:t>
      </w:r>
      <w:proofErr w:type="spellStart"/>
      <w:r w:rsidRPr="003366B9">
        <w:rPr>
          <w:rFonts w:ascii="Times New Roman" w:hAnsi="Times New Roman"/>
          <w:sz w:val="24"/>
          <w:szCs w:val="24"/>
        </w:rPr>
        <w:t>циталопрам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6B9">
        <w:rPr>
          <w:rFonts w:ascii="Times New Roman" w:hAnsi="Times New Roman"/>
          <w:sz w:val="24"/>
          <w:szCs w:val="24"/>
        </w:rPr>
        <w:t>флуоксетин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6B9">
        <w:rPr>
          <w:rFonts w:ascii="Times New Roman" w:hAnsi="Times New Roman"/>
          <w:sz w:val="24"/>
          <w:szCs w:val="24"/>
        </w:rPr>
        <w:t>пароксетин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66B9">
        <w:rPr>
          <w:rFonts w:ascii="Times New Roman" w:hAnsi="Times New Roman"/>
          <w:sz w:val="24"/>
          <w:szCs w:val="24"/>
        </w:rPr>
        <w:t>сертралин</w:t>
      </w:r>
      <w:proofErr w:type="spellEnd"/>
      <w:r w:rsidRPr="003366B9">
        <w:rPr>
          <w:rFonts w:ascii="Times New Roman" w:hAnsi="Times New Roman"/>
          <w:sz w:val="24"/>
          <w:szCs w:val="24"/>
        </w:rPr>
        <w:t>).</w:t>
      </w:r>
    </w:p>
    <w:p w:rsidR="00720E27" w:rsidRPr="003366B9" w:rsidRDefault="00720E27" w:rsidP="00720E27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B24A53" w:rsidRDefault="003366B9" w:rsidP="003366B9">
      <w:pPr>
        <w:spacing w:after="0" w:line="240" w:lineRule="auto"/>
        <w:ind w:right="-143" w:hanging="567"/>
        <w:jc w:val="both"/>
        <w:rPr>
          <w:rFonts w:ascii="Times New Roman" w:hAnsi="Times New Roman"/>
          <w:b/>
          <w:sz w:val="24"/>
          <w:szCs w:val="24"/>
        </w:rPr>
      </w:pPr>
      <w:r w:rsidRPr="00B24A53">
        <w:rPr>
          <w:rFonts w:ascii="Times New Roman" w:hAnsi="Times New Roman"/>
          <w:b/>
          <w:sz w:val="24"/>
          <w:szCs w:val="24"/>
        </w:rPr>
        <w:t>Способ применения и дозы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Следует использовать минимальную эффективную дозу минимально возможным коротким курсом. Таблетки принимают с достаточным количеством воды предпочтительно после еды.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lastRenderedPageBreak/>
        <w:t xml:space="preserve">Взрослым и детям старше 12 лет </w:t>
      </w:r>
      <w:r w:rsidR="009B0C84">
        <w:rPr>
          <w:rFonts w:ascii="Times New Roman" w:hAnsi="Times New Roman"/>
          <w:sz w:val="24"/>
          <w:szCs w:val="24"/>
        </w:rPr>
        <w:t>–</w:t>
      </w:r>
      <w:r w:rsidR="009B0C84" w:rsidRPr="009B0C84">
        <w:rPr>
          <w:rFonts w:ascii="Times New Roman" w:hAnsi="Times New Roman"/>
          <w:sz w:val="24"/>
          <w:szCs w:val="24"/>
        </w:rPr>
        <w:t xml:space="preserve"> </w:t>
      </w:r>
      <w:r w:rsidRPr="003366B9">
        <w:rPr>
          <w:rFonts w:ascii="Times New Roman" w:hAnsi="Times New Roman"/>
          <w:sz w:val="24"/>
          <w:szCs w:val="24"/>
        </w:rPr>
        <w:t>внутрь по 1 таблетке 2 раза в сутки. При наличии заболеваний желудочно-кишечного тракта препарат желательно принимать в конце еды или после приема пищи. Максимальная суточная доза для взрослых – 200 мг.</w:t>
      </w:r>
    </w:p>
    <w:p w:rsid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Пациентам с хронической почечной недостаточностью требуется снижение суточной дозы до 100 мг.</w:t>
      </w:r>
    </w:p>
    <w:p w:rsidR="00B24A53" w:rsidRPr="003366B9" w:rsidRDefault="00B24A53" w:rsidP="00B24A5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B24A53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  <w:r w:rsidRPr="00B24A53">
        <w:rPr>
          <w:rFonts w:ascii="Times New Roman" w:hAnsi="Times New Roman"/>
          <w:b/>
          <w:sz w:val="24"/>
          <w:szCs w:val="24"/>
        </w:rPr>
        <w:t>Побочное действие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Частота побочных эффектов классифицируется в зависимости от часто</w:t>
      </w:r>
      <w:r w:rsidR="00B24A53">
        <w:rPr>
          <w:rFonts w:ascii="Times New Roman" w:hAnsi="Times New Roman"/>
          <w:sz w:val="24"/>
          <w:szCs w:val="24"/>
        </w:rPr>
        <w:t xml:space="preserve">ты встречаемости случая: часто </w:t>
      </w:r>
      <w:r w:rsidRPr="003366B9">
        <w:rPr>
          <w:rFonts w:ascii="Times New Roman" w:hAnsi="Times New Roman"/>
          <w:sz w:val="24"/>
          <w:szCs w:val="24"/>
        </w:rPr>
        <w:t>(1-10%), иногда (0,1-1%), редко (0,01-0,1%), очень редко (менее 0,01%), включая отдельные сообщения.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Аллергические реакции:</w:t>
      </w:r>
      <w:r w:rsidRPr="003366B9">
        <w:rPr>
          <w:rFonts w:ascii="Times New Roman" w:hAnsi="Times New Roman"/>
          <w:sz w:val="24"/>
          <w:szCs w:val="24"/>
        </w:rPr>
        <w:t xml:space="preserve"> редко – реакции гиперчувствительности; очень ре</w:t>
      </w:r>
      <w:r w:rsidR="00B24A53">
        <w:rPr>
          <w:rFonts w:ascii="Times New Roman" w:hAnsi="Times New Roman"/>
          <w:sz w:val="24"/>
          <w:szCs w:val="24"/>
        </w:rPr>
        <w:t xml:space="preserve">дко – анафилактоидные реакции.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центральной нервной системы:</w:t>
      </w:r>
      <w:r w:rsidRPr="003366B9">
        <w:rPr>
          <w:rFonts w:ascii="Times New Roman" w:hAnsi="Times New Roman"/>
          <w:sz w:val="24"/>
          <w:szCs w:val="24"/>
        </w:rPr>
        <w:t xml:space="preserve"> нечасто – головокружение; редко – ощущение страха, нервозность, кошмарные сновидения; очень редко – головная боль, сонливость, энцефалопатия (синдром Рейе).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кожных покровов:</w:t>
      </w:r>
      <w:r w:rsidRPr="003366B9">
        <w:rPr>
          <w:rFonts w:ascii="Times New Roman" w:hAnsi="Times New Roman"/>
          <w:sz w:val="24"/>
          <w:szCs w:val="24"/>
        </w:rPr>
        <w:t xml:space="preserve"> нечасто – зуд, сыпь, усиление потоотделения; редко: эритема, дерматит; очень редко: крапивница, ангионевротический отек, отечность лица, </w:t>
      </w:r>
      <w:proofErr w:type="spellStart"/>
      <w:r w:rsidRPr="003366B9">
        <w:rPr>
          <w:rFonts w:ascii="Times New Roman" w:hAnsi="Times New Roman"/>
          <w:sz w:val="24"/>
          <w:szCs w:val="24"/>
        </w:rPr>
        <w:t>многоформная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 экссудативная эритема, в том числе синдром Стивенса-Джонсона, токсический эпидермальный некролиз (синдром Лайелла).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мочевыделительной системы:</w:t>
      </w:r>
      <w:r w:rsidRPr="003366B9">
        <w:rPr>
          <w:rFonts w:ascii="Times New Roman" w:hAnsi="Times New Roman"/>
          <w:sz w:val="24"/>
          <w:szCs w:val="24"/>
        </w:rPr>
        <w:t xml:space="preserve"> нечасто – отеки; редко – дизурия, гематурия, задержка мочи, гиперкалиемия; очень редко – почечная недостаточность, олигурия, интерстициальный нефрит.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желудочно-кишечного тракта:</w:t>
      </w:r>
      <w:r w:rsidRPr="003366B9">
        <w:rPr>
          <w:rFonts w:ascii="Times New Roman" w:hAnsi="Times New Roman"/>
          <w:sz w:val="24"/>
          <w:szCs w:val="24"/>
        </w:rPr>
        <w:t xml:space="preserve"> часто – диарея, тошнота, рвота; нечасто – запор, метеоризм, гастрит; очень редко – боли в животе, стоматит, дегтеобразный стул, желудочно-кишечное кровотечение, язва и/или перфорация желудка или двенадцатиперстной кишки.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печени и желчевыводящей системы:</w:t>
      </w:r>
      <w:r w:rsidRPr="003366B9">
        <w:rPr>
          <w:rFonts w:ascii="Times New Roman" w:hAnsi="Times New Roman"/>
          <w:sz w:val="24"/>
          <w:szCs w:val="24"/>
        </w:rPr>
        <w:t xml:space="preserve"> часто – повышение «печеночных» трансаминаз; очень редко – гепатит, молниеносный гепатит, желтуха, холестаз.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органов кроветворения:</w:t>
      </w:r>
      <w:r w:rsidRPr="003366B9">
        <w:rPr>
          <w:rFonts w:ascii="Times New Roman" w:hAnsi="Times New Roman"/>
          <w:sz w:val="24"/>
          <w:szCs w:val="24"/>
        </w:rPr>
        <w:t xml:space="preserve"> редко – анемия, эозинофилия; очень редко – тромбоцитопения, панцитопения, пурпура, удлинение времени кровотечения.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дыхательной системы:</w:t>
      </w:r>
      <w:r w:rsidRPr="003366B9">
        <w:rPr>
          <w:rFonts w:ascii="Times New Roman" w:hAnsi="Times New Roman"/>
          <w:sz w:val="24"/>
          <w:szCs w:val="24"/>
        </w:rPr>
        <w:t xml:space="preserve"> нечасто – одышка; очень редко – обострение бронхиальной астмы, бронхоспазм.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органов чувств:</w:t>
      </w:r>
      <w:r w:rsidRPr="003366B9">
        <w:rPr>
          <w:rFonts w:ascii="Times New Roman" w:hAnsi="Times New Roman"/>
          <w:sz w:val="24"/>
          <w:szCs w:val="24"/>
        </w:rPr>
        <w:t xml:space="preserve"> редко </w:t>
      </w:r>
      <w:r w:rsidR="00B24A53">
        <w:rPr>
          <w:rFonts w:ascii="Times New Roman" w:hAnsi="Times New Roman"/>
          <w:sz w:val="24"/>
          <w:szCs w:val="24"/>
        </w:rPr>
        <w:t xml:space="preserve">– нечеткость зрения.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Со стороны сердечно-сосудистой системы:</w:t>
      </w:r>
      <w:r w:rsidRPr="003366B9">
        <w:rPr>
          <w:rFonts w:ascii="Times New Roman" w:hAnsi="Times New Roman"/>
          <w:sz w:val="24"/>
          <w:szCs w:val="24"/>
        </w:rPr>
        <w:t xml:space="preserve"> нечасто – артериальная гипертензия; редко </w:t>
      </w:r>
      <w:proofErr w:type="gramStart"/>
      <w:r w:rsidRPr="003366B9">
        <w:rPr>
          <w:rFonts w:ascii="Times New Roman" w:hAnsi="Times New Roman"/>
          <w:sz w:val="24"/>
          <w:szCs w:val="24"/>
        </w:rPr>
        <w:t>–  тахикардия</w:t>
      </w:r>
      <w:proofErr w:type="gramEnd"/>
      <w:r w:rsidRPr="003366B9">
        <w:rPr>
          <w:rFonts w:ascii="Times New Roman" w:hAnsi="Times New Roman"/>
          <w:sz w:val="24"/>
          <w:szCs w:val="24"/>
        </w:rPr>
        <w:t xml:space="preserve">, геморрагии, «приливы». </w:t>
      </w:r>
    </w:p>
    <w:p w:rsid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Прочие:</w:t>
      </w:r>
      <w:r w:rsidRPr="003366B9">
        <w:rPr>
          <w:rFonts w:ascii="Times New Roman" w:hAnsi="Times New Roman"/>
          <w:sz w:val="24"/>
          <w:szCs w:val="24"/>
        </w:rPr>
        <w:t xml:space="preserve"> редко – общая слабость; очень редко – гипотермия.</w:t>
      </w:r>
    </w:p>
    <w:p w:rsidR="00B24A53" w:rsidRPr="003366B9" w:rsidRDefault="00B24A53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B24A53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  <w:r w:rsidRPr="00B24A53">
        <w:rPr>
          <w:rFonts w:ascii="Times New Roman" w:hAnsi="Times New Roman"/>
          <w:b/>
          <w:sz w:val="24"/>
          <w:szCs w:val="24"/>
        </w:rPr>
        <w:t>Передозировка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Симптомы:</w:t>
      </w:r>
      <w:r w:rsidRPr="003366B9">
        <w:rPr>
          <w:rFonts w:ascii="Times New Roman" w:hAnsi="Times New Roman"/>
          <w:sz w:val="24"/>
          <w:szCs w:val="24"/>
        </w:rPr>
        <w:t xml:space="preserve"> апатия, сонливость, тошнота, рвота. Может возникнуть желудочно-кишечное кровотечение, повышение артериального давления, острая почечная недостаточность, угнетение дыхания. </w:t>
      </w:r>
    </w:p>
    <w:p w:rsid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B24A53">
        <w:rPr>
          <w:rFonts w:ascii="Times New Roman" w:hAnsi="Times New Roman"/>
          <w:i/>
          <w:sz w:val="24"/>
          <w:szCs w:val="24"/>
        </w:rPr>
        <w:t>Лечение:</w:t>
      </w:r>
      <w:r w:rsidRPr="003366B9">
        <w:rPr>
          <w:rFonts w:ascii="Times New Roman" w:hAnsi="Times New Roman"/>
          <w:sz w:val="24"/>
          <w:szCs w:val="24"/>
        </w:rPr>
        <w:t xml:space="preserve"> требуется симптоматическое лечение пациента и поддерживающий уход за ним. Специфического антидота нет. В случае, если передозировка произошла в течение последних 4 часов, необходимо вызвать рвоту, обеспечить прием активированного угля (60–100 г на взрослого человека), осмотические слабительные. Форсированный диурез, </w:t>
      </w:r>
      <w:proofErr w:type="gramStart"/>
      <w:r w:rsidRPr="003366B9">
        <w:rPr>
          <w:rFonts w:ascii="Times New Roman" w:hAnsi="Times New Roman"/>
          <w:sz w:val="24"/>
          <w:szCs w:val="24"/>
        </w:rPr>
        <w:t>гемодиализ  неэффективны</w:t>
      </w:r>
      <w:proofErr w:type="gramEnd"/>
      <w:r w:rsidRPr="003366B9">
        <w:rPr>
          <w:rFonts w:ascii="Times New Roman" w:hAnsi="Times New Roman"/>
          <w:sz w:val="24"/>
          <w:szCs w:val="24"/>
        </w:rPr>
        <w:t xml:space="preserve"> из-за высокой связи препарата с белками.</w:t>
      </w:r>
    </w:p>
    <w:p w:rsidR="00B24A53" w:rsidRPr="003366B9" w:rsidRDefault="00B24A53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B24A53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  <w:r w:rsidRPr="00B24A53">
        <w:rPr>
          <w:rFonts w:ascii="Times New Roman" w:hAnsi="Times New Roman"/>
          <w:b/>
          <w:sz w:val="24"/>
          <w:szCs w:val="24"/>
        </w:rPr>
        <w:t>Взаимодействие  с другими  лекарственными средствами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 xml:space="preserve">Действие медикаментов, уменьшающих свертываемость крови, усиливается при их одновременном применении с </w:t>
      </w:r>
      <w:proofErr w:type="spellStart"/>
      <w:r w:rsidRPr="003366B9">
        <w:rPr>
          <w:rFonts w:ascii="Times New Roman" w:hAnsi="Times New Roman"/>
          <w:sz w:val="24"/>
          <w:szCs w:val="24"/>
        </w:rPr>
        <w:t>нимесулидом</w:t>
      </w:r>
      <w:proofErr w:type="spellEnd"/>
      <w:r w:rsidRPr="003366B9">
        <w:rPr>
          <w:rFonts w:ascii="Times New Roman" w:hAnsi="Times New Roman"/>
          <w:sz w:val="24"/>
          <w:szCs w:val="24"/>
        </w:rPr>
        <w:t>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Нимесулид может снижать действие фуросемида. Нимесулид может увеличивать возможность наступления побочных дей</w:t>
      </w:r>
      <w:r w:rsidR="00B24A53">
        <w:rPr>
          <w:rFonts w:ascii="Times New Roman" w:hAnsi="Times New Roman"/>
          <w:sz w:val="24"/>
          <w:szCs w:val="24"/>
        </w:rPr>
        <w:t xml:space="preserve">ствий при одновременном приеме </w:t>
      </w:r>
      <w:r w:rsidRPr="003366B9">
        <w:rPr>
          <w:rFonts w:ascii="Times New Roman" w:hAnsi="Times New Roman"/>
          <w:sz w:val="24"/>
          <w:szCs w:val="24"/>
        </w:rPr>
        <w:t xml:space="preserve">метотрексата.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 xml:space="preserve">Уровень лития в плазме повышается при одновременном приеме препаратов лития и нимесулида.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lastRenderedPageBreak/>
        <w:t xml:space="preserve">Нимесулид может усиливать действие циклоспорина на почки. </w:t>
      </w:r>
    </w:p>
    <w:p w:rsid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Использование с глюкокортикостероидами, ингибиторами обратного захвата серотонина увеличивает риск развития желудочно-кишечных кровотечений.</w:t>
      </w:r>
    </w:p>
    <w:p w:rsidR="000861B4" w:rsidRPr="003366B9" w:rsidRDefault="000861B4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0861B4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  <w:r w:rsidRPr="000861B4">
        <w:rPr>
          <w:rFonts w:ascii="Times New Roman" w:hAnsi="Times New Roman"/>
          <w:b/>
          <w:sz w:val="24"/>
          <w:szCs w:val="24"/>
        </w:rPr>
        <w:t>Особые указания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Поскольку Найз</w:t>
      </w:r>
      <w:r w:rsidRPr="000861B4">
        <w:rPr>
          <w:rFonts w:ascii="Times New Roman" w:hAnsi="Times New Roman"/>
          <w:sz w:val="24"/>
          <w:szCs w:val="24"/>
          <w:vertAlign w:val="superscript"/>
        </w:rPr>
        <w:t>®</w:t>
      </w:r>
      <w:r w:rsidR="000861B4">
        <w:rPr>
          <w:rFonts w:ascii="Times New Roman" w:hAnsi="Times New Roman"/>
          <w:sz w:val="24"/>
          <w:szCs w:val="24"/>
        </w:rPr>
        <w:t xml:space="preserve"> </w:t>
      </w:r>
      <w:r w:rsidRPr="003366B9">
        <w:rPr>
          <w:rFonts w:ascii="Times New Roman" w:hAnsi="Times New Roman"/>
          <w:sz w:val="24"/>
          <w:szCs w:val="24"/>
        </w:rPr>
        <w:t>частично выводится почками, его дозу для пациентов с нарушениями функции почек следует уменьшать</w:t>
      </w:r>
      <w:r w:rsidR="0028028F">
        <w:rPr>
          <w:rFonts w:ascii="Times New Roman" w:hAnsi="Times New Roman"/>
          <w:sz w:val="24"/>
          <w:szCs w:val="24"/>
        </w:rPr>
        <w:t>,</w:t>
      </w:r>
      <w:r w:rsidRPr="003366B9">
        <w:rPr>
          <w:rFonts w:ascii="Times New Roman" w:hAnsi="Times New Roman"/>
          <w:sz w:val="24"/>
          <w:szCs w:val="24"/>
        </w:rPr>
        <w:t xml:space="preserve"> в зависимости от показателей клиренса креатинина.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Учитывая сообщения о нарушениях зрения у пациентов, принимавших д</w:t>
      </w:r>
      <w:r w:rsidR="000861B4">
        <w:rPr>
          <w:rFonts w:ascii="Times New Roman" w:hAnsi="Times New Roman"/>
          <w:sz w:val="24"/>
          <w:szCs w:val="24"/>
        </w:rPr>
        <w:t>ругие НПВП, лечение должно быть</w:t>
      </w:r>
      <w:r w:rsidRPr="003366B9">
        <w:rPr>
          <w:rFonts w:ascii="Times New Roman" w:hAnsi="Times New Roman"/>
          <w:sz w:val="24"/>
          <w:szCs w:val="24"/>
        </w:rPr>
        <w:t xml:space="preserve"> немедленно прекращено, если появляется любое нарушение зрения, и пациента  должен обследовать врач</w:t>
      </w:r>
      <w:r w:rsidRPr="000861B4">
        <w:rPr>
          <w:rFonts w:ascii="Times New Roman" w:hAnsi="Times New Roman"/>
          <w:b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окулист.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Препарат может вызвать задержку жидкости в тканях, поэтому пациентам с высоким артериальным давлением и с нарушениями сердечной деятельности Найз</w:t>
      </w:r>
      <w:r w:rsidRPr="000861B4">
        <w:rPr>
          <w:rFonts w:ascii="Times New Roman" w:hAnsi="Times New Roman"/>
          <w:sz w:val="24"/>
          <w:szCs w:val="24"/>
          <w:vertAlign w:val="superscript"/>
        </w:rPr>
        <w:t>®</w:t>
      </w:r>
      <w:r w:rsidRPr="003366B9">
        <w:rPr>
          <w:rFonts w:ascii="Times New Roman" w:hAnsi="Times New Roman"/>
          <w:sz w:val="24"/>
          <w:szCs w:val="24"/>
        </w:rPr>
        <w:t xml:space="preserve"> следует применять с особой осторожностью.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 xml:space="preserve">Пациентам следует проходить регулярный врачебный контроль, если они наряду с </w:t>
      </w:r>
      <w:proofErr w:type="spellStart"/>
      <w:r w:rsidRPr="003366B9">
        <w:rPr>
          <w:rFonts w:ascii="Times New Roman" w:hAnsi="Times New Roman"/>
          <w:sz w:val="24"/>
          <w:szCs w:val="24"/>
        </w:rPr>
        <w:t>нимесулидом</w:t>
      </w:r>
      <w:proofErr w:type="spellEnd"/>
      <w:r w:rsidRPr="003366B9">
        <w:rPr>
          <w:rFonts w:ascii="Times New Roman" w:hAnsi="Times New Roman"/>
          <w:sz w:val="24"/>
          <w:szCs w:val="24"/>
        </w:rPr>
        <w:t xml:space="preserve"> принимают медикаменты, для которых характерно влияние на желудочно-кишечный тракт. 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При появлении признаков поражения печени (кожный зуд, пожелтение кожных покровов, тошнота, рвота, боли в животе, потемнение мочи, повышение уровня «печеночных» трансаминаз) следует прекратить прием препарата и обратиться к лечащему врачу.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Не следует применять препарат одновременно с другими НПВП.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Препарат может изменять свойства тромбоцитов, однако не заменяет профилактического действия ацетилсалициловой кислоты при сердечно</w:t>
      </w:r>
      <w:r w:rsidRPr="000861B4">
        <w:rPr>
          <w:rFonts w:ascii="Times New Roman" w:hAnsi="Times New Roman"/>
          <w:b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сосудистых заболеваниях.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Применение препарата может отрицательно влиять на женскую фертильность и не рекомендуется женщинам, планирующим беременность.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После 2</w:t>
      </w:r>
      <w:r w:rsidRPr="000861B4">
        <w:rPr>
          <w:rFonts w:ascii="Times New Roman" w:hAnsi="Times New Roman"/>
          <w:b/>
          <w:sz w:val="24"/>
          <w:szCs w:val="24"/>
        </w:rPr>
        <w:t>-</w:t>
      </w:r>
      <w:r w:rsidRPr="003366B9">
        <w:rPr>
          <w:rFonts w:ascii="Times New Roman" w:hAnsi="Times New Roman"/>
          <w:sz w:val="24"/>
          <w:szCs w:val="24"/>
        </w:rPr>
        <w:t>х недель применения препарата необходим контроль биохимических показателей функции печени.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Данная лекарственная форма противопоказана для детей до 12 лет, но при необходимости применения нимесулида у детей старше 7 лет могут использоваться таблетки диспергируемые 50 мг и суспензия в строгом соответствии с прилагаемой к ним инструкцией по медицинскому применению.</w:t>
      </w:r>
    </w:p>
    <w:p w:rsid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Так как препарат может вызывать сонливость, головокружение и нечеткость зрения, необходимо соблюдать осторожность при вождении автотранспорта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0861B4" w:rsidRPr="003366B9" w:rsidRDefault="000861B4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601AC5" w:rsidRPr="00601AC5" w:rsidRDefault="00601AC5" w:rsidP="00601AC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AC5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выпуска</w:t>
      </w:r>
    </w:p>
    <w:p w:rsidR="00601AC5" w:rsidRPr="00601AC5" w:rsidRDefault="00601AC5" w:rsidP="00601AC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Таблетки, 100 мг.</w:t>
      </w:r>
    </w:p>
    <w:p w:rsidR="00601AC5" w:rsidRDefault="00601AC5" w:rsidP="00601AC5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По 10 таблеток в ПВХ/алюминиевом блистере. По 1, 2, 3 или 10 блистеров вместе с инструкцией по применению в пачку картонную.</w:t>
      </w:r>
    </w:p>
    <w:p w:rsidR="000861B4" w:rsidRPr="003366B9" w:rsidRDefault="000861B4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0861B4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  <w:r w:rsidRPr="000861B4">
        <w:rPr>
          <w:rFonts w:ascii="Times New Roman" w:hAnsi="Times New Roman"/>
          <w:b/>
          <w:sz w:val="24"/>
          <w:szCs w:val="24"/>
        </w:rPr>
        <w:t>Условия хранения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 xml:space="preserve">В защищенном от света месте при температуре не выше 25 </w:t>
      </w:r>
      <w:r w:rsidR="001D42D0">
        <w:rPr>
          <w:rFonts w:ascii="Times New Roman" w:hAnsi="Times New Roman"/>
          <w:sz w:val="24"/>
          <w:szCs w:val="24"/>
        </w:rPr>
        <w:t>°</w:t>
      </w:r>
      <w:r w:rsidRPr="003366B9">
        <w:rPr>
          <w:rFonts w:ascii="Times New Roman" w:hAnsi="Times New Roman"/>
          <w:sz w:val="24"/>
          <w:szCs w:val="24"/>
        </w:rPr>
        <w:t>С.</w:t>
      </w:r>
    </w:p>
    <w:p w:rsid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Хранить в недоступном для детей месте!</w:t>
      </w:r>
    </w:p>
    <w:p w:rsidR="000861B4" w:rsidRPr="003366B9" w:rsidRDefault="000861B4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0861B4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  <w:r w:rsidRPr="000861B4">
        <w:rPr>
          <w:rFonts w:ascii="Times New Roman" w:hAnsi="Times New Roman"/>
          <w:b/>
          <w:sz w:val="24"/>
          <w:szCs w:val="24"/>
        </w:rPr>
        <w:t>Срок годности</w:t>
      </w:r>
    </w:p>
    <w:p w:rsidR="003366B9" w:rsidRP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3 года.</w:t>
      </w:r>
    </w:p>
    <w:p w:rsid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Не использовать после истечения срока годности, указанного на упаковке.</w:t>
      </w:r>
    </w:p>
    <w:p w:rsidR="000861B4" w:rsidRPr="003366B9" w:rsidRDefault="000861B4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3366B9" w:rsidRPr="000861B4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  <w:r w:rsidRPr="000861B4">
        <w:rPr>
          <w:rFonts w:ascii="Times New Roman" w:hAnsi="Times New Roman"/>
          <w:b/>
          <w:sz w:val="24"/>
          <w:szCs w:val="24"/>
        </w:rPr>
        <w:t>Условия отпуска из аптек</w:t>
      </w:r>
    </w:p>
    <w:p w:rsidR="003366B9" w:rsidRDefault="003366B9" w:rsidP="00B24A5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3366B9">
        <w:rPr>
          <w:rFonts w:ascii="Times New Roman" w:hAnsi="Times New Roman"/>
          <w:sz w:val="24"/>
          <w:szCs w:val="24"/>
        </w:rPr>
        <w:t>По рецепту.</w:t>
      </w:r>
    </w:p>
    <w:p w:rsidR="00601AC5" w:rsidRDefault="00601AC5" w:rsidP="008A524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</w:p>
    <w:p w:rsidR="00601AC5" w:rsidRPr="00601AC5" w:rsidRDefault="00601AC5" w:rsidP="00601AC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AC5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Производитель</w:t>
      </w:r>
    </w:p>
    <w:p w:rsidR="00601AC5" w:rsidRPr="00601AC5" w:rsidRDefault="00601AC5" w:rsidP="00601AC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Д-р </w:t>
      </w:r>
      <w:proofErr w:type="spell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Редди’с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Лабораторис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Лтд.,</w:t>
      </w:r>
      <w:proofErr w:type="gram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Индия</w:t>
      </w:r>
    </w:p>
    <w:p w:rsidR="008A5243" w:rsidRPr="00601AC5" w:rsidRDefault="00601AC5" w:rsidP="00601AC5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AC5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Dr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01AC5">
        <w:rPr>
          <w:rFonts w:ascii="Times New Roman" w:eastAsia="Times New Roman" w:hAnsi="Times New Roman"/>
          <w:sz w:val="24"/>
          <w:szCs w:val="24"/>
          <w:lang w:val="en-US" w:eastAsia="ru-RU"/>
        </w:rPr>
        <w:t>Reddy</w:t>
      </w:r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601AC5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1AC5">
        <w:rPr>
          <w:rFonts w:ascii="Times New Roman" w:eastAsia="Times New Roman" w:hAnsi="Times New Roman"/>
          <w:sz w:val="24"/>
          <w:szCs w:val="24"/>
          <w:lang w:val="en-US" w:eastAsia="ru-RU"/>
        </w:rPr>
        <w:t>Laboratories</w:t>
      </w:r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1AC5">
        <w:rPr>
          <w:rFonts w:ascii="Times New Roman" w:eastAsia="Times New Roman" w:hAnsi="Times New Roman"/>
          <w:sz w:val="24"/>
          <w:szCs w:val="24"/>
          <w:lang w:val="en-US" w:eastAsia="ru-RU"/>
        </w:rPr>
        <w:t>Ltd</w:t>
      </w:r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601AC5">
        <w:rPr>
          <w:rFonts w:ascii="Times New Roman" w:eastAsia="Times New Roman" w:hAnsi="Times New Roman"/>
          <w:sz w:val="24"/>
          <w:szCs w:val="24"/>
          <w:lang w:val="en-US" w:eastAsia="ru-RU"/>
        </w:rPr>
        <w:t>India</w:t>
      </w:r>
    </w:p>
    <w:p w:rsidR="008A5243" w:rsidRPr="00601AC5" w:rsidRDefault="008A5243" w:rsidP="008A524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601AC5" w:rsidRPr="00601AC5" w:rsidRDefault="00601AC5" w:rsidP="00D731F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1AC5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Наименования и адреса производственных площадок производителя лекарственного препарата</w:t>
      </w:r>
    </w:p>
    <w:p w:rsidR="00601AC5" w:rsidRPr="00601AC5" w:rsidRDefault="00601AC5" w:rsidP="00D731FB">
      <w:pPr>
        <w:tabs>
          <w:tab w:val="left" w:leader="underscore" w:pos="6283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Производственное подразделение-II, участки № 42, 45 и 46, </w:t>
      </w:r>
      <w:proofErr w:type="spell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Бачупалли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Вилладж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Кутубуллапур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Мандал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, Ранга </w:t>
      </w:r>
      <w:proofErr w:type="spell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Редди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Дистрикт, </w:t>
      </w:r>
      <w:proofErr w:type="spellStart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Телангана</w:t>
      </w:r>
      <w:proofErr w:type="spellEnd"/>
      <w:r w:rsidRPr="00601AC5">
        <w:rPr>
          <w:rFonts w:ascii="Times New Roman" w:eastAsia="Times New Roman" w:hAnsi="Times New Roman"/>
          <w:sz w:val="24"/>
          <w:szCs w:val="24"/>
          <w:lang w:eastAsia="ru-RU"/>
        </w:rPr>
        <w:t>, Индия.</w:t>
      </w:r>
    </w:p>
    <w:p w:rsidR="008A5243" w:rsidRPr="00D731FB" w:rsidRDefault="00601AC5" w:rsidP="00601AC5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Производственное подразделение – 6, </w:t>
      </w:r>
      <w:proofErr w:type="spellStart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>Кхоль</w:t>
      </w:r>
      <w:proofErr w:type="spellEnd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>Вилладж</w:t>
      </w:r>
      <w:proofErr w:type="spellEnd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>Налагарх</w:t>
      </w:r>
      <w:proofErr w:type="spellEnd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>Роуд</w:t>
      </w:r>
      <w:proofErr w:type="spellEnd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>Бадди</w:t>
      </w:r>
      <w:proofErr w:type="spellEnd"/>
      <w:r w:rsidRPr="00D731FB">
        <w:rPr>
          <w:rFonts w:ascii="Times New Roman" w:eastAsia="Times New Roman" w:hAnsi="Times New Roman"/>
          <w:sz w:val="24"/>
          <w:szCs w:val="24"/>
          <w:lang w:eastAsia="ru-RU"/>
        </w:rPr>
        <w:t>, Солан Дистрикт, Х.П., 173205, Индия.</w:t>
      </w:r>
    </w:p>
    <w:p w:rsidR="008A5243" w:rsidRPr="00601AC5" w:rsidRDefault="008A5243" w:rsidP="008A5243">
      <w:pPr>
        <w:spacing w:after="0" w:line="240" w:lineRule="auto"/>
        <w:ind w:left="-567" w:right="-143"/>
        <w:jc w:val="both"/>
      </w:pPr>
    </w:p>
    <w:p w:rsidR="008A5243" w:rsidRPr="008A5243" w:rsidRDefault="008A5243" w:rsidP="008A5243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4"/>
          <w:szCs w:val="24"/>
        </w:rPr>
      </w:pPr>
      <w:r w:rsidRPr="008A5243">
        <w:rPr>
          <w:rFonts w:ascii="Times New Roman" w:hAnsi="Times New Roman"/>
          <w:b/>
          <w:sz w:val="24"/>
          <w:szCs w:val="24"/>
        </w:rPr>
        <w:t>Сведения о рекламациях и нежелательных лекарственных реакциях направлять по адресу:</w:t>
      </w:r>
    </w:p>
    <w:p w:rsidR="008A5243" w:rsidRPr="008A5243" w:rsidRDefault="008A5243" w:rsidP="008A524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8A5243">
        <w:rPr>
          <w:rFonts w:ascii="Times New Roman" w:hAnsi="Times New Roman"/>
          <w:sz w:val="24"/>
          <w:szCs w:val="24"/>
        </w:rPr>
        <w:t>Представительство фирмы «Д-р Редди’с Лабораторис Лтд.»:</w:t>
      </w:r>
    </w:p>
    <w:p w:rsidR="008A5243" w:rsidRPr="008A5243" w:rsidRDefault="008A5243" w:rsidP="008A524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8A5243">
        <w:rPr>
          <w:rFonts w:ascii="Times New Roman" w:hAnsi="Times New Roman"/>
          <w:sz w:val="24"/>
          <w:szCs w:val="24"/>
        </w:rPr>
        <w:t>115035, г. Москва, Овчинниковская наб.,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243">
        <w:rPr>
          <w:rFonts w:ascii="Times New Roman" w:hAnsi="Times New Roman"/>
          <w:sz w:val="24"/>
          <w:szCs w:val="24"/>
        </w:rPr>
        <w:t>д. 20, стр.1</w:t>
      </w:r>
    </w:p>
    <w:p w:rsidR="008A5243" w:rsidRPr="008A5243" w:rsidRDefault="008A5243" w:rsidP="008A524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5243"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8A5243">
        <w:rPr>
          <w:rFonts w:ascii="Times New Roman" w:hAnsi="Times New Roman"/>
          <w:sz w:val="24"/>
          <w:szCs w:val="24"/>
        </w:rPr>
        <w:t xml:space="preserve"> +7 (495) 795-39-39</w:t>
      </w:r>
    </w:p>
    <w:p w:rsidR="008A5243" w:rsidRDefault="008A5243" w:rsidP="008A524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8A5243">
        <w:rPr>
          <w:rFonts w:ascii="Times New Roman" w:hAnsi="Times New Roman"/>
          <w:sz w:val="24"/>
          <w:szCs w:val="24"/>
        </w:rPr>
        <w:t>факс: +7 (495) 795-39-08</w:t>
      </w:r>
      <w:bookmarkStart w:id="0" w:name="_GoBack"/>
      <w:bookmarkEnd w:id="0"/>
    </w:p>
    <w:p w:rsidR="008A5243" w:rsidRDefault="008A5243" w:rsidP="008A5243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</w:p>
    <w:sectPr w:rsidR="008A5243" w:rsidSect="004E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62C7"/>
    <w:multiLevelType w:val="hybridMultilevel"/>
    <w:tmpl w:val="6D62BA4A"/>
    <w:lvl w:ilvl="0" w:tplc="21EA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B9"/>
    <w:rsid w:val="000861B4"/>
    <w:rsid w:val="001D42D0"/>
    <w:rsid w:val="0028028F"/>
    <w:rsid w:val="003366B9"/>
    <w:rsid w:val="0042776A"/>
    <w:rsid w:val="004E65D7"/>
    <w:rsid w:val="00523383"/>
    <w:rsid w:val="00536A46"/>
    <w:rsid w:val="00601AC5"/>
    <w:rsid w:val="006A3509"/>
    <w:rsid w:val="00720E27"/>
    <w:rsid w:val="00891A1E"/>
    <w:rsid w:val="008A5243"/>
    <w:rsid w:val="009B0C84"/>
    <w:rsid w:val="009F7640"/>
    <w:rsid w:val="00B24A53"/>
    <w:rsid w:val="00CD4257"/>
    <w:rsid w:val="00D731FB"/>
    <w:rsid w:val="00DE356F"/>
    <w:rsid w:val="00DF1139"/>
    <w:rsid w:val="00E23B11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57007-EA6B-4D08-99B4-BA17101E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66B9"/>
    <w:rPr>
      <w:rFonts w:ascii="Times New Roman" w:eastAsia="Times New Roman" w:hAnsi="Times New Roman"/>
      <w:lang w:val="en-US"/>
    </w:rPr>
  </w:style>
  <w:style w:type="paragraph" w:customStyle="1" w:styleId="51">
    <w:name w:val="Заголовок 51"/>
    <w:basedOn w:val="1"/>
    <w:next w:val="1"/>
    <w:rsid w:val="003366B9"/>
    <w:pPr>
      <w:spacing w:before="240" w:after="60"/>
    </w:pPr>
    <w:rPr>
      <w:sz w:val="22"/>
    </w:rPr>
  </w:style>
  <w:style w:type="paragraph" w:styleId="a3">
    <w:name w:val="List Paragraph"/>
    <w:basedOn w:val="a"/>
    <w:uiPriority w:val="34"/>
    <w:qFormat/>
    <w:rsid w:val="00720E27"/>
    <w:pPr>
      <w:ind w:left="720"/>
      <w:contextualSpacing/>
    </w:pPr>
  </w:style>
  <w:style w:type="paragraph" w:customStyle="1" w:styleId="Style4">
    <w:name w:val="Style4"/>
    <w:basedOn w:val="a"/>
    <w:rsid w:val="008A524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8A524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A524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 Reddy's</Company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ntolkach</dc:creator>
  <cp:keywords/>
  <dc:description/>
  <cp:lastModifiedBy>1</cp:lastModifiedBy>
  <cp:revision>5</cp:revision>
  <dcterms:created xsi:type="dcterms:W3CDTF">2015-11-26T12:43:00Z</dcterms:created>
  <dcterms:modified xsi:type="dcterms:W3CDTF">2019-02-01T10:42:00Z</dcterms:modified>
</cp:coreProperties>
</file>