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C25E" w14:textId="77777777" w:rsidR="00E3430B" w:rsidRDefault="00E3430B" w:rsidP="00357D55">
      <w:pPr>
        <w:widowControl w:val="0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98469" w14:textId="77777777" w:rsidR="00E218BB" w:rsidRPr="00B57A2A" w:rsidRDefault="00E218BB" w:rsidP="00357D55">
      <w:pPr>
        <w:widowControl w:val="0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>ИНСТРУКЦИЯ</w:t>
      </w:r>
    </w:p>
    <w:p w14:paraId="31396C8A" w14:textId="77777777" w:rsidR="00E218BB" w:rsidRPr="00B57A2A" w:rsidRDefault="00E218BB" w:rsidP="00B57A2A">
      <w:pPr>
        <w:pStyle w:val="Style13"/>
        <w:widowControl/>
        <w:spacing w:line="360" w:lineRule="auto"/>
        <w:jc w:val="center"/>
        <w:rPr>
          <w:b/>
        </w:rPr>
      </w:pPr>
      <w:r w:rsidRPr="00B57A2A">
        <w:rPr>
          <w:b/>
        </w:rPr>
        <w:t>ПО МЕДИЦИНСКОМУ ПРИМЕНЕНИЮ ЛЕКАРСТВЕННОГО ПРЕПАРАТА</w:t>
      </w:r>
    </w:p>
    <w:p w14:paraId="0305AD0C" w14:textId="4BDAB5D3" w:rsidR="00A61369" w:rsidRPr="00B57A2A" w:rsidRDefault="00A61369" w:rsidP="00B57A2A">
      <w:pPr>
        <w:pStyle w:val="Style13"/>
        <w:widowControl/>
        <w:spacing w:line="360" w:lineRule="auto"/>
        <w:jc w:val="center"/>
        <w:rPr>
          <w:rStyle w:val="FontStyle187"/>
          <w:sz w:val="24"/>
          <w:szCs w:val="24"/>
          <w:vertAlign w:val="superscript"/>
        </w:rPr>
      </w:pPr>
      <w:r w:rsidRPr="00B57A2A">
        <w:rPr>
          <w:rStyle w:val="FontStyle187"/>
          <w:sz w:val="24"/>
          <w:szCs w:val="24"/>
        </w:rPr>
        <w:t>Леволет</w:t>
      </w:r>
      <w:r w:rsidR="00345188">
        <w:rPr>
          <w:rStyle w:val="FontStyle187"/>
          <w:sz w:val="24"/>
          <w:szCs w:val="24"/>
          <w:vertAlign w:val="superscript"/>
        </w:rPr>
        <w:t>®</w:t>
      </w:r>
      <w:r w:rsidR="00357D55">
        <w:rPr>
          <w:rStyle w:val="FontStyle187"/>
          <w:sz w:val="24"/>
          <w:szCs w:val="24"/>
        </w:rPr>
        <w:t xml:space="preserve"> </w:t>
      </w:r>
      <w:r w:rsidRPr="00B57A2A">
        <w:rPr>
          <w:rStyle w:val="FontStyle187"/>
          <w:sz w:val="24"/>
          <w:szCs w:val="24"/>
        </w:rPr>
        <w:t>Р</w:t>
      </w:r>
    </w:p>
    <w:p w14:paraId="3AA6ADD6" w14:textId="157AA481" w:rsidR="00A61369" w:rsidRPr="00A01090" w:rsidRDefault="00A61369" w:rsidP="00357D55">
      <w:pPr>
        <w:pStyle w:val="Style13"/>
        <w:widowControl/>
        <w:spacing w:line="360" w:lineRule="auto"/>
        <w:jc w:val="both"/>
        <w:rPr>
          <w:rStyle w:val="FontStyle187"/>
          <w:sz w:val="24"/>
          <w:szCs w:val="24"/>
        </w:rPr>
      </w:pPr>
      <w:r w:rsidRPr="00B57A2A">
        <w:rPr>
          <w:rStyle w:val="FontStyle187"/>
          <w:sz w:val="24"/>
          <w:szCs w:val="24"/>
        </w:rPr>
        <w:t xml:space="preserve">Регистрационный номер: </w:t>
      </w:r>
      <w:proofErr w:type="spellStart"/>
      <w:r w:rsidR="00A01090" w:rsidRPr="0061770E">
        <w:rPr>
          <w:rStyle w:val="FontStyle187"/>
          <w:sz w:val="24"/>
          <w:szCs w:val="24"/>
        </w:rPr>
        <w:t>ЛСР</w:t>
      </w:r>
      <w:proofErr w:type="spellEnd"/>
      <w:r w:rsidR="00A01090" w:rsidRPr="0061770E">
        <w:rPr>
          <w:rStyle w:val="FontStyle187"/>
          <w:sz w:val="24"/>
          <w:szCs w:val="24"/>
        </w:rPr>
        <w:t>-005809/09</w:t>
      </w:r>
    </w:p>
    <w:p w14:paraId="2767D06A" w14:textId="479E6540" w:rsidR="00A61369" w:rsidRPr="00B57A2A" w:rsidRDefault="00A61369" w:rsidP="00357D55">
      <w:pPr>
        <w:pStyle w:val="Style13"/>
        <w:widowControl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87"/>
          <w:sz w:val="24"/>
          <w:szCs w:val="24"/>
        </w:rPr>
        <w:t xml:space="preserve">Торговое название препарата: </w:t>
      </w:r>
      <w:r w:rsidRPr="00B57A2A">
        <w:rPr>
          <w:rStyle w:val="FontStyle190"/>
          <w:sz w:val="24"/>
          <w:szCs w:val="24"/>
        </w:rPr>
        <w:t>Леволет</w:t>
      </w:r>
      <w:r w:rsidRPr="00B57A2A">
        <w:rPr>
          <w:rStyle w:val="FontStyle190"/>
          <w:sz w:val="24"/>
          <w:szCs w:val="24"/>
          <w:vertAlign w:val="superscript"/>
        </w:rPr>
        <w:t>®</w:t>
      </w:r>
      <w:r w:rsidR="00357D55">
        <w:rPr>
          <w:rStyle w:val="FontStyle190"/>
          <w:sz w:val="24"/>
          <w:szCs w:val="24"/>
        </w:rPr>
        <w:t xml:space="preserve"> </w:t>
      </w:r>
      <w:r w:rsidRPr="00B57A2A">
        <w:rPr>
          <w:rStyle w:val="FontStyle190"/>
          <w:sz w:val="24"/>
          <w:szCs w:val="24"/>
        </w:rPr>
        <w:t>Р</w:t>
      </w:r>
    </w:p>
    <w:p w14:paraId="54B3295B" w14:textId="77777777" w:rsidR="00A61369" w:rsidRPr="00B57A2A" w:rsidRDefault="00A61369" w:rsidP="00357D55">
      <w:pPr>
        <w:pStyle w:val="Style13"/>
        <w:widowControl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87"/>
          <w:sz w:val="24"/>
          <w:szCs w:val="24"/>
        </w:rPr>
        <w:t xml:space="preserve">Международное непатентованное название препарата: </w:t>
      </w:r>
      <w:r w:rsidRPr="00B57A2A">
        <w:rPr>
          <w:rStyle w:val="FontStyle190"/>
          <w:sz w:val="24"/>
          <w:szCs w:val="24"/>
        </w:rPr>
        <w:t>левофлоксацин.</w:t>
      </w:r>
    </w:p>
    <w:p w14:paraId="78466065" w14:textId="77777777" w:rsidR="00A61369" w:rsidRPr="00B57A2A" w:rsidRDefault="00A61369" w:rsidP="00357D55">
      <w:pPr>
        <w:pStyle w:val="Style19"/>
        <w:widowControl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87"/>
          <w:sz w:val="24"/>
          <w:szCs w:val="24"/>
        </w:rPr>
        <w:t xml:space="preserve">Лекарственная форма: </w:t>
      </w:r>
      <w:r w:rsidRPr="00B57A2A">
        <w:rPr>
          <w:rStyle w:val="FontStyle190"/>
          <w:sz w:val="24"/>
          <w:szCs w:val="24"/>
        </w:rPr>
        <w:t xml:space="preserve">таблетки, покрытые пленочной оболочкой. </w:t>
      </w:r>
    </w:p>
    <w:p w14:paraId="3EED08D0" w14:textId="77777777" w:rsidR="00A61369" w:rsidRPr="00B57A2A" w:rsidRDefault="00A61369" w:rsidP="00357D55">
      <w:pPr>
        <w:pStyle w:val="Style19"/>
        <w:widowControl/>
        <w:spacing w:line="360" w:lineRule="auto"/>
        <w:jc w:val="both"/>
        <w:rPr>
          <w:rStyle w:val="FontStyle187"/>
          <w:sz w:val="24"/>
          <w:szCs w:val="24"/>
        </w:rPr>
      </w:pPr>
      <w:r w:rsidRPr="00B57A2A">
        <w:rPr>
          <w:rStyle w:val="FontStyle187"/>
          <w:sz w:val="24"/>
          <w:szCs w:val="24"/>
        </w:rPr>
        <w:t>Состав:</w:t>
      </w:r>
    </w:p>
    <w:p w14:paraId="2677F2CC" w14:textId="77777777" w:rsidR="00A61369" w:rsidRPr="00B57A2A" w:rsidRDefault="00A61369" w:rsidP="00357D55">
      <w:pPr>
        <w:pStyle w:val="Style19"/>
        <w:widowControl/>
        <w:spacing w:line="360" w:lineRule="auto"/>
        <w:jc w:val="both"/>
        <w:rPr>
          <w:rStyle w:val="FontStyle190"/>
          <w:sz w:val="24"/>
          <w:szCs w:val="24"/>
          <w:u w:val="single"/>
        </w:rPr>
      </w:pPr>
      <w:r w:rsidRPr="00B57A2A">
        <w:rPr>
          <w:rStyle w:val="FontStyle190"/>
          <w:sz w:val="24"/>
          <w:szCs w:val="24"/>
          <w:u w:val="single"/>
        </w:rPr>
        <w:t>Каждая таблетка, покрытая пленочной оболочкой,</w:t>
      </w:r>
      <w:r w:rsidR="009A6DA2" w:rsidRPr="00B57A2A">
        <w:rPr>
          <w:rStyle w:val="FontStyle190"/>
          <w:sz w:val="24"/>
          <w:szCs w:val="24"/>
          <w:u w:val="single"/>
        </w:rPr>
        <w:t xml:space="preserve"> 250 мг</w:t>
      </w:r>
      <w:r w:rsidRPr="00B57A2A">
        <w:rPr>
          <w:rStyle w:val="FontStyle190"/>
          <w:sz w:val="24"/>
          <w:szCs w:val="24"/>
          <w:u w:val="single"/>
        </w:rPr>
        <w:t xml:space="preserve"> содержит:</w:t>
      </w:r>
    </w:p>
    <w:p w14:paraId="62AA50C7" w14:textId="77777777" w:rsidR="00A61369" w:rsidRPr="00B57A2A" w:rsidRDefault="009A6DA2" w:rsidP="00357D55">
      <w:pPr>
        <w:pStyle w:val="Style8"/>
        <w:widowControl/>
        <w:spacing w:line="360" w:lineRule="auto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>Действующее</w:t>
      </w:r>
      <w:r w:rsidR="00A61369" w:rsidRPr="00B57A2A">
        <w:rPr>
          <w:rStyle w:val="FontStyle192"/>
          <w:sz w:val="24"/>
          <w:szCs w:val="24"/>
        </w:rPr>
        <w:t xml:space="preserve"> веществ</w:t>
      </w:r>
      <w:r w:rsidRPr="00B57A2A">
        <w:rPr>
          <w:rStyle w:val="FontStyle192"/>
          <w:sz w:val="24"/>
          <w:szCs w:val="24"/>
        </w:rPr>
        <w:t>о</w:t>
      </w:r>
      <w:r w:rsidR="00A61369" w:rsidRPr="00B57A2A">
        <w:rPr>
          <w:rStyle w:val="FontStyle192"/>
          <w:sz w:val="24"/>
          <w:szCs w:val="24"/>
        </w:rPr>
        <w:t xml:space="preserve">: </w:t>
      </w:r>
      <w:r w:rsidR="00A61369" w:rsidRPr="00B57A2A">
        <w:rPr>
          <w:rStyle w:val="FontStyle190"/>
          <w:sz w:val="24"/>
          <w:szCs w:val="24"/>
        </w:rPr>
        <w:t>левофлоксацина гемигидрат 256,233 мг</w:t>
      </w:r>
      <w:r w:rsidRPr="00B57A2A">
        <w:rPr>
          <w:rStyle w:val="FontStyle190"/>
          <w:sz w:val="24"/>
          <w:szCs w:val="24"/>
        </w:rPr>
        <w:t xml:space="preserve">, эквивалентно 250 </w:t>
      </w:r>
      <w:r w:rsidR="00A61369" w:rsidRPr="00B57A2A">
        <w:rPr>
          <w:rStyle w:val="FontStyle190"/>
          <w:sz w:val="24"/>
          <w:szCs w:val="24"/>
        </w:rPr>
        <w:t>мг левофлоксацина.</w:t>
      </w:r>
    </w:p>
    <w:p w14:paraId="3AE9C5E0" w14:textId="77777777" w:rsidR="009A6DA2" w:rsidRPr="00B57A2A" w:rsidRDefault="00A61369" w:rsidP="00357D55">
      <w:pPr>
        <w:pStyle w:val="Style8"/>
        <w:widowControl/>
        <w:spacing w:line="360" w:lineRule="auto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 xml:space="preserve">Вспомогательные вещества: </w:t>
      </w:r>
      <w:r w:rsidRPr="00B57A2A">
        <w:rPr>
          <w:rStyle w:val="FontStyle190"/>
          <w:sz w:val="24"/>
          <w:szCs w:val="24"/>
        </w:rPr>
        <w:t>целлюлоза микрокристаллическая (</w:t>
      </w:r>
      <w:proofErr w:type="spellStart"/>
      <w:r w:rsidRPr="00B57A2A">
        <w:rPr>
          <w:rStyle w:val="FontStyle190"/>
          <w:sz w:val="24"/>
          <w:szCs w:val="24"/>
          <w:lang w:val="en-US"/>
        </w:rPr>
        <w:t>Avicel</w:t>
      </w:r>
      <w:proofErr w:type="spellEnd"/>
      <w:r w:rsidRPr="00B57A2A">
        <w:rPr>
          <w:rStyle w:val="FontStyle190"/>
          <w:sz w:val="24"/>
          <w:szCs w:val="24"/>
        </w:rPr>
        <w:t xml:space="preserve"> РН 101)</w:t>
      </w:r>
      <w:r w:rsidR="009A6DA2" w:rsidRPr="00B57A2A">
        <w:rPr>
          <w:rStyle w:val="FontStyle190"/>
          <w:sz w:val="24"/>
          <w:szCs w:val="24"/>
        </w:rPr>
        <w:t xml:space="preserve"> 25,333 мг</w:t>
      </w:r>
      <w:r w:rsidRPr="00B57A2A">
        <w:rPr>
          <w:rStyle w:val="FontStyle190"/>
          <w:sz w:val="24"/>
          <w:szCs w:val="24"/>
        </w:rPr>
        <w:t>, крахмал кукурузный</w:t>
      </w:r>
      <w:r w:rsidR="009A6DA2" w:rsidRPr="00B57A2A">
        <w:rPr>
          <w:rStyle w:val="FontStyle190"/>
          <w:sz w:val="24"/>
          <w:szCs w:val="24"/>
        </w:rPr>
        <w:t xml:space="preserve"> 25,1 мг</w:t>
      </w:r>
      <w:r w:rsidRPr="00B57A2A">
        <w:rPr>
          <w:rStyle w:val="FontStyle190"/>
          <w:sz w:val="24"/>
          <w:szCs w:val="24"/>
        </w:rPr>
        <w:t>, кремния диоксид коллоидный</w:t>
      </w:r>
      <w:r w:rsidR="009A6DA2" w:rsidRPr="00B57A2A">
        <w:rPr>
          <w:rStyle w:val="FontStyle190"/>
          <w:sz w:val="24"/>
          <w:szCs w:val="24"/>
        </w:rPr>
        <w:t xml:space="preserve"> 5 мг</w:t>
      </w:r>
      <w:r w:rsidRPr="00B57A2A">
        <w:rPr>
          <w:rStyle w:val="FontStyle190"/>
          <w:sz w:val="24"/>
          <w:szCs w:val="24"/>
        </w:rPr>
        <w:t xml:space="preserve">, </w:t>
      </w:r>
      <w:proofErr w:type="spellStart"/>
      <w:r w:rsidRPr="00B57A2A">
        <w:rPr>
          <w:rStyle w:val="FontStyle190"/>
          <w:sz w:val="24"/>
          <w:szCs w:val="24"/>
        </w:rPr>
        <w:t>кросповидон</w:t>
      </w:r>
      <w:proofErr w:type="spellEnd"/>
      <w:r w:rsidR="009A6DA2" w:rsidRPr="00B57A2A">
        <w:rPr>
          <w:rStyle w:val="FontStyle190"/>
          <w:sz w:val="24"/>
          <w:szCs w:val="24"/>
        </w:rPr>
        <w:t xml:space="preserve"> 21,333 мг</w:t>
      </w:r>
      <w:r w:rsidRPr="00B57A2A">
        <w:rPr>
          <w:rStyle w:val="FontStyle190"/>
          <w:sz w:val="24"/>
          <w:szCs w:val="24"/>
        </w:rPr>
        <w:t xml:space="preserve">, гипромеллоза (15 </w:t>
      </w:r>
      <w:r w:rsidRPr="00B57A2A">
        <w:rPr>
          <w:rStyle w:val="FontStyle190"/>
          <w:sz w:val="24"/>
          <w:szCs w:val="24"/>
          <w:lang w:val="en-US"/>
        </w:rPr>
        <w:t>cps</w:t>
      </w:r>
      <w:r w:rsidRPr="00B57A2A">
        <w:rPr>
          <w:rStyle w:val="FontStyle190"/>
          <w:sz w:val="24"/>
          <w:szCs w:val="24"/>
        </w:rPr>
        <w:t>)</w:t>
      </w:r>
      <w:r w:rsidR="009A6DA2" w:rsidRPr="00B57A2A">
        <w:rPr>
          <w:rStyle w:val="FontStyle190"/>
          <w:sz w:val="24"/>
          <w:szCs w:val="24"/>
        </w:rPr>
        <w:t xml:space="preserve"> 7 мг</w:t>
      </w:r>
      <w:r w:rsidRPr="00B57A2A">
        <w:rPr>
          <w:rStyle w:val="FontStyle190"/>
          <w:sz w:val="24"/>
          <w:szCs w:val="24"/>
        </w:rPr>
        <w:t>, целлюлоза микрокристаллическая (</w:t>
      </w:r>
      <w:proofErr w:type="spellStart"/>
      <w:r w:rsidRPr="00B57A2A">
        <w:rPr>
          <w:rStyle w:val="FontStyle190"/>
          <w:sz w:val="24"/>
          <w:szCs w:val="24"/>
          <w:lang w:val="en-US"/>
        </w:rPr>
        <w:t>Avicel</w:t>
      </w:r>
      <w:proofErr w:type="spellEnd"/>
      <w:r w:rsidRPr="00B57A2A">
        <w:rPr>
          <w:rStyle w:val="FontStyle190"/>
          <w:sz w:val="24"/>
          <w:szCs w:val="24"/>
        </w:rPr>
        <w:t xml:space="preserve"> РН 102)</w:t>
      </w:r>
      <w:r w:rsidR="009A6DA2" w:rsidRPr="00B57A2A">
        <w:rPr>
          <w:rStyle w:val="FontStyle190"/>
          <w:sz w:val="24"/>
          <w:szCs w:val="24"/>
        </w:rPr>
        <w:t xml:space="preserve"> 30 мг</w:t>
      </w:r>
      <w:r w:rsidRPr="00B57A2A">
        <w:rPr>
          <w:rStyle w:val="FontStyle190"/>
          <w:sz w:val="24"/>
          <w:szCs w:val="24"/>
        </w:rPr>
        <w:t>, магния стеарат</w:t>
      </w:r>
      <w:r w:rsidR="009A6DA2" w:rsidRPr="00B57A2A">
        <w:rPr>
          <w:rStyle w:val="FontStyle190"/>
          <w:sz w:val="24"/>
          <w:szCs w:val="24"/>
        </w:rPr>
        <w:t xml:space="preserve"> 5 мг</w:t>
      </w:r>
      <w:r w:rsidRPr="00B57A2A">
        <w:rPr>
          <w:rStyle w:val="FontStyle190"/>
          <w:sz w:val="24"/>
          <w:szCs w:val="24"/>
        </w:rPr>
        <w:t xml:space="preserve">. </w:t>
      </w:r>
    </w:p>
    <w:p w14:paraId="3558E536" w14:textId="38F148AF" w:rsidR="00A61369" w:rsidRPr="00B57A2A" w:rsidRDefault="00A61369" w:rsidP="00357D55">
      <w:pPr>
        <w:pStyle w:val="Style8"/>
        <w:widowControl/>
        <w:spacing w:line="360" w:lineRule="auto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 xml:space="preserve">Оболочка: </w:t>
      </w:r>
      <w:r w:rsidRPr="00B57A2A">
        <w:rPr>
          <w:rStyle w:val="FontStyle190"/>
          <w:sz w:val="24"/>
          <w:szCs w:val="24"/>
        </w:rPr>
        <w:t xml:space="preserve">Опадрай белый </w:t>
      </w:r>
      <w:r w:rsidRPr="00B57A2A">
        <w:rPr>
          <w:rStyle w:val="FontStyle190"/>
          <w:sz w:val="24"/>
          <w:szCs w:val="24"/>
          <w:lang w:val="en-US"/>
        </w:rPr>
        <w:t>OY</w:t>
      </w:r>
      <w:r w:rsidRPr="00B57A2A">
        <w:rPr>
          <w:rStyle w:val="FontStyle190"/>
          <w:sz w:val="24"/>
          <w:szCs w:val="24"/>
        </w:rPr>
        <w:t xml:space="preserve"> 58900 (гипромеллоза </w:t>
      </w:r>
      <w:r w:rsidR="00357D55" w:rsidRPr="00357D55">
        <w:rPr>
          <w:rStyle w:val="FontStyle190"/>
          <w:sz w:val="24"/>
          <w:szCs w:val="24"/>
        </w:rPr>
        <w:t>(</w:t>
      </w:r>
      <w:r w:rsidRPr="00B57A2A">
        <w:rPr>
          <w:rStyle w:val="FontStyle190"/>
          <w:sz w:val="24"/>
          <w:szCs w:val="24"/>
        </w:rPr>
        <w:t xml:space="preserve">5 </w:t>
      </w:r>
      <w:proofErr w:type="spellStart"/>
      <w:r w:rsidRPr="00B57A2A">
        <w:rPr>
          <w:rStyle w:val="FontStyle190"/>
          <w:sz w:val="24"/>
          <w:szCs w:val="24"/>
        </w:rPr>
        <w:t>сР</w:t>
      </w:r>
      <w:proofErr w:type="spellEnd"/>
      <w:r w:rsidR="00357D55" w:rsidRPr="00357D55">
        <w:rPr>
          <w:rStyle w:val="FontStyle190"/>
          <w:sz w:val="24"/>
          <w:szCs w:val="24"/>
        </w:rPr>
        <w:t>)</w:t>
      </w:r>
      <w:r w:rsidR="009A6DA2" w:rsidRPr="00B57A2A">
        <w:rPr>
          <w:rStyle w:val="FontStyle190"/>
          <w:sz w:val="24"/>
          <w:szCs w:val="24"/>
        </w:rPr>
        <w:t xml:space="preserve"> 62,5%</w:t>
      </w:r>
      <w:r w:rsidRPr="00B57A2A">
        <w:rPr>
          <w:rStyle w:val="FontStyle190"/>
          <w:sz w:val="24"/>
          <w:szCs w:val="24"/>
        </w:rPr>
        <w:t>, титана диоксид</w:t>
      </w:r>
      <w:r w:rsidR="009A6DA2" w:rsidRPr="00B57A2A">
        <w:rPr>
          <w:rStyle w:val="FontStyle190"/>
          <w:sz w:val="24"/>
          <w:szCs w:val="24"/>
        </w:rPr>
        <w:t xml:space="preserve"> (Е171) 31,25%</w:t>
      </w:r>
      <w:r w:rsidR="00680308" w:rsidRPr="00B57A2A">
        <w:rPr>
          <w:rStyle w:val="FontStyle190"/>
          <w:sz w:val="24"/>
          <w:szCs w:val="24"/>
        </w:rPr>
        <w:t>, макрогол</w:t>
      </w:r>
      <w:r w:rsidR="00357D55">
        <w:rPr>
          <w:rStyle w:val="FontStyle190"/>
          <w:b/>
          <w:sz w:val="24"/>
          <w:szCs w:val="24"/>
        </w:rPr>
        <w:t xml:space="preserve"> </w:t>
      </w:r>
      <w:r w:rsidRPr="00B57A2A">
        <w:rPr>
          <w:rStyle w:val="FontStyle190"/>
          <w:sz w:val="24"/>
          <w:szCs w:val="24"/>
        </w:rPr>
        <w:t>400</w:t>
      </w:r>
      <w:r w:rsidR="009A6DA2" w:rsidRPr="00B57A2A">
        <w:rPr>
          <w:rStyle w:val="FontStyle190"/>
          <w:sz w:val="24"/>
          <w:szCs w:val="24"/>
        </w:rPr>
        <w:t xml:space="preserve"> 6,25%</w:t>
      </w:r>
      <w:r w:rsidRPr="00B57A2A">
        <w:rPr>
          <w:rStyle w:val="FontStyle190"/>
          <w:sz w:val="24"/>
          <w:szCs w:val="24"/>
        </w:rPr>
        <w:t>)</w:t>
      </w:r>
      <w:r w:rsidR="009A6DA2" w:rsidRPr="00B57A2A">
        <w:rPr>
          <w:rStyle w:val="FontStyle190"/>
          <w:sz w:val="24"/>
          <w:szCs w:val="24"/>
        </w:rPr>
        <w:t xml:space="preserve"> 11,25 мг</w:t>
      </w:r>
      <w:r w:rsidRPr="00B57A2A">
        <w:rPr>
          <w:rStyle w:val="FontStyle190"/>
          <w:sz w:val="24"/>
          <w:szCs w:val="24"/>
        </w:rPr>
        <w:t>.</w:t>
      </w:r>
    </w:p>
    <w:p w14:paraId="2E5E235B" w14:textId="77777777" w:rsidR="009A6DA2" w:rsidRPr="00B57A2A" w:rsidRDefault="009A6DA2" w:rsidP="00357D55">
      <w:pPr>
        <w:pStyle w:val="Style19"/>
        <w:widowControl/>
        <w:spacing w:line="360" w:lineRule="auto"/>
        <w:jc w:val="both"/>
        <w:rPr>
          <w:rStyle w:val="FontStyle190"/>
          <w:sz w:val="24"/>
          <w:szCs w:val="24"/>
          <w:u w:val="single"/>
        </w:rPr>
      </w:pPr>
      <w:r w:rsidRPr="00B57A2A">
        <w:rPr>
          <w:rStyle w:val="FontStyle190"/>
          <w:sz w:val="24"/>
          <w:szCs w:val="24"/>
          <w:u w:val="single"/>
        </w:rPr>
        <w:t>Каждая таблетка, покрытая пленочной оболочкой, 500 мг содержит:</w:t>
      </w:r>
    </w:p>
    <w:p w14:paraId="6C7F329F" w14:textId="77777777" w:rsidR="009A6DA2" w:rsidRPr="00B57A2A" w:rsidRDefault="009A6DA2" w:rsidP="00357D55">
      <w:pPr>
        <w:pStyle w:val="Style8"/>
        <w:widowControl/>
        <w:spacing w:line="360" w:lineRule="auto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 xml:space="preserve">Действующее вещество: </w:t>
      </w:r>
      <w:r w:rsidRPr="00B57A2A">
        <w:rPr>
          <w:rStyle w:val="FontStyle190"/>
          <w:sz w:val="24"/>
          <w:szCs w:val="24"/>
        </w:rPr>
        <w:t>левофлоксацина гемигидрат 512,466 мг, эквивалентно 500 мг левофлоксацина.</w:t>
      </w:r>
    </w:p>
    <w:p w14:paraId="66C5F26C" w14:textId="77777777" w:rsidR="009A6DA2" w:rsidRPr="00B57A2A" w:rsidRDefault="009A6DA2" w:rsidP="00357D55">
      <w:pPr>
        <w:pStyle w:val="Style8"/>
        <w:widowControl/>
        <w:spacing w:line="360" w:lineRule="auto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 xml:space="preserve">Вспомогательные вещества: </w:t>
      </w:r>
      <w:r w:rsidRPr="00B57A2A">
        <w:rPr>
          <w:rStyle w:val="FontStyle190"/>
          <w:sz w:val="24"/>
          <w:szCs w:val="24"/>
        </w:rPr>
        <w:t>целлюлоза микрокристаллическая (</w:t>
      </w:r>
      <w:proofErr w:type="spellStart"/>
      <w:r w:rsidRPr="00B57A2A">
        <w:rPr>
          <w:rStyle w:val="FontStyle190"/>
          <w:sz w:val="24"/>
          <w:szCs w:val="24"/>
          <w:lang w:val="en-US"/>
        </w:rPr>
        <w:t>Avicel</w:t>
      </w:r>
      <w:proofErr w:type="spellEnd"/>
      <w:r w:rsidRPr="00B57A2A">
        <w:rPr>
          <w:rStyle w:val="FontStyle190"/>
          <w:sz w:val="24"/>
          <w:szCs w:val="24"/>
        </w:rPr>
        <w:t xml:space="preserve"> РН 101) </w:t>
      </w:r>
      <w:r w:rsidR="00680308" w:rsidRPr="00B57A2A">
        <w:rPr>
          <w:rStyle w:val="FontStyle190"/>
          <w:sz w:val="24"/>
          <w:szCs w:val="24"/>
        </w:rPr>
        <w:t>50,667</w:t>
      </w:r>
      <w:r w:rsidRPr="00B57A2A">
        <w:rPr>
          <w:rStyle w:val="FontStyle190"/>
          <w:sz w:val="24"/>
          <w:szCs w:val="24"/>
        </w:rPr>
        <w:t xml:space="preserve"> мг, крахмал кукурузный </w:t>
      </w:r>
      <w:r w:rsidR="00680308" w:rsidRPr="00B57A2A">
        <w:rPr>
          <w:rStyle w:val="FontStyle190"/>
          <w:sz w:val="24"/>
          <w:szCs w:val="24"/>
        </w:rPr>
        <w:t xml:space="preserve">50,2 </w:t>
      </w:r>
      <w:r w:rsidRPr="00B57A2A">
        <w:rPr>
          <w:rStyle w:val="FontStyle190"/>
          <w:sz w:val="24"/>
          <w:szCs w:val="24"/>
        </w:rPr>
        <w:t xml:space="preserve">мг, кремния диоксид коллоидный </w:t>
      </w:r>
      <w:r w:rsidR="00680308" w:rsidRPr="00B57A2A">
        <w:rPr>
          <w:rStyle w:val="FontStyle190"/>
          <w:sz w:val="24"/>
          <w:szCs w:val="24"/>
        </w:rPr>
        <w:t>10</w:t>
      </w:r>
      <w:r w:rsidRPr="00B57A2A">
        <w:rPr>
          <w:rStyle w:val="FontStyle190"/>
          <w:sz w:val="24"/>
          <w:szCs w:val="24"/>
        </w:rPr>
        <w:t xml:space="preserve"> мг, </w:t>
      </w:r>
      <w:proofErr w:type="spellStart"/>
      <w:r w:rsidRPr="00B57A2A">
        <w:rPr>
          <w:rStyle w:val="FontStyle190"/>
          <w:sz w:val="24"/>
          <w:szCs w:val="24"/>
        </w:rPr>
        <w:t>кросповидон</w:t>
      </w:r>
      <w:proofErr w:type="spellEnd"/>
      <w:r w:rsidRPr="00B57A2A">
        <w:rPr>
          <w:rStyle w:val="FontStyle190"/>
          <w:sz w:val="24"/>
          <w:szCs w:val="24"/>
        </w:rPr>
        <w:t xml:space="preserve"> </w:t>
      </w:r>
      <w:r w:rsidR="00680308" w:rsidRPr="00B57A2A">
        <w:rPr>
          <w:rStyle w:val="FontStyle190"/>
          <w:sz w:val="24"/>
          <w:szCs w:val="24"/>
        </w:rPr>
        <w:t>42,667</w:t>
      </w:r>
      <w:r w:rsidRPr="00B57A2A">
        <w:rPr>
          <w:rStyle w:val="FontStyle190"/>
          <w:sz w:val="24"/>
          <w:szCs w:val="24"/>
        </w:rPr>
        <w:t xml:space="preserve"> мг, гипромеллоза (15 </w:t>
      </w:r>
      <w:r w:rsidRPr="00B57A2A">
        <w:rPr>
          <w:rStyle w:val="FontStyle190"/>
          <w:sz w:val="24"/>
          <w:szCs w:val="24"/>
          <w:lang w:val="en-US"/>
        </w:rPr>
        <w:t>cps</w:t>
      </w:r>
      <w:r w:rsidRPr="00B57A2A">
        <w:rPr>
          <w:rStyle w:val="FontStyle190"/>
          <w:sz w:val="24"/>
          <w:szCs w:val="24"/>
        </w:rPr>
        <w:t xml:space="preserve">) </w:t>
      </w:r>
      <w:r w:rsidR="00680308" w:rsidRPr="00B57A2A">
        <w:rPr>
          <w:rStyle w:val="FontStyle190"/>
          <w:sz w:val="24"/>
          <w:szCs w:val="24"/>
        </w:rPr>
        <w:t>14</w:t>
      </w:r>
      <w:r w:rsidRPr="00B57A2A">
        <w:rPr>
          <w:rStyle w:val="FontStyle190"/>
          <w:sz w:val="24"/>
          <w:szCs w:val="24"/>
        </w:rPr>
        <w:t xml:space="preserve"> мг, целлюлоза микрокристаллическая (</w:t>
      </w:r>
      <w:proofErr w:type="spellStart"/>
      <w:r w:rsidRPr="00B57A2A">
        <w:rPr>
          <w:rStyle w:val="FontStyle190"/>
          <w:sz w:val="24"/>
          <w:szCs w:val="24"/>
          <w:lang w:val="en-US"/>
        </w:rPr>
        <w:t>Avicel</w:t>
      </w:r>
      <w:proofErr w:type="spellEnd"/>
      <w:r w:rsidRPr="00B57A2A">
        <w:rPr>
          <w:rStyle w:val="FontStyle190"/>
          <w:sz w:val="24"/>
          <w:szCs w:val="24"/>
        </w:rPr>
        <w:t xml:space="preserve"> РН 102) </w:t>
      </w:r>
      <w:r w:rsidR="00680308" w:rsidRPr="00B57A2A">
        <w:rPr>
          <w:rStyle w:val="FontStyle190"/>
          <w:sz w:val="24"/>
          <w:szCs w:val="24"/>
        </w:rPr>
        <w:t>6</w:t>
      </w:r>
      <w:r w:rsidRPr="00B57A2A">
        <w:rPr>
          <w:rStyle w:val="FontStyle190"/>
          <w:sz w:val="24"/>
          <w:szCs w:val="24"/>
        </w:rPr>
        <w:t xml:space="preserve">0 мг, магния стеарат </w:t>
      </w:r>
      <w:r w:rsidR="00680308" w:rsidRPr="00B57A2A">
        <w:rPr>
          <w:rStyle w:val="FontStyle190"/>
          <w:sz w:val="24"/>
          <w:szCs w:val="24"/>
        </w:rPr>
        <w:t>10</w:t>
      </w:r>
      <w:r w:rsidRPr="00B57A2A">
        <w:rPr>
          <w:rStyle w:val="FontStyle190"/>
          <w:sz w:val="24"/>
          <w:szCs w:val="24"/>
        </w:rPr>
        <w:t xml:space="preserve"> мг. </w:t>
      </w:r>
    </w:p>
    <w:p w14:paraId="52F21265" w14:textId="0B06CF59" w:rsidR="009A6DA2" w:rsidRPr="00B57A2A" w:rsidRDefault="009A6DA2" w:rsidP="00357D55">
      <w:pPr>
        <w:pStyle w:val="Style8"/>
        <w:widowControl/>
        <w:spacing w:line="360" w:lineRule="auto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 xml:space="preserve">Оболочка: </w:t>
      </w:r>
      <w:r w:rsidRPr="00B57A2A">
        <w:rPr>
          <w:rStyle w:val="FontStyle190"/>
          <w:sz w:val="24"/>
          <w:szCs w:val="24"/>
        </w:rPr>
        <w:t xml:space="preserve">Опадрай белый </w:t>
      </w:r>
      <w:r w:rsidRPr="00B57A2A">
        <w:rPr>
          <w:rStyle w:val="FontStyle190"/>
          <w:sz w:val="24"/>
          <w:szCs w:val="24"/>
          <w:lang w:val="en-US"/>
        </w:rPr>
        <w:t>OY</w:t>
      </w:r>
      <w:r w:rsidRPr="00B57A2A">
        <w:rPr>
          <w:rStyle w:val="FontStyle190"/>
          <w:sz w:val="24"/>
          <w:szCs w:val="24"/>
        </w:rPr>
        <w:t xml:space="preserve"> 58900 (гипромеллоза </w:t>
      </w:r>
      <w:r w:rsidR="00357D55" w:rsidRPr="00357D55">
        <w:rPr>
          <w:rStyle w:val="FontStyle190"/>
          <w:sz w:val="24"/>
          <w:szCs w:val="24"/>
        </w:rPr>
        <w:t>(</w:t>
      </w:r>
      <w:r w:rsidRPr="00B57A2A">
        <w:rPr>
          <w:rStyle w:val="FontStyle190"/>
          <w:sz w:val="24"/>
          <w:szCs w:val="24"/>
        </w:rPr>
        <w:t xml:space="preserve">5 </w:t>
      </w:r>
      <w:proofErr w:type="spellStart"/>
      <w:r w:rsidRPr="00B57A2A">
        <w:rPr>
          <w:rStyle w:val="FontStyle190"/>
          <w:sz w:val="24"/>
          <w:szCs w:val="24"/>
        </w:rPr>
        <w:t>сР</w:t>
      </w:r>
      <w:proofErr w:type="spellEnd"/>
      <w:r w:rsidR="00357D55" w:rsidRPr="00357D55">
        <w:rPr>
          <w:rStyle w:val="FontStyle190"/>
          <w:sz w:val="24"/>
          <w:szCs w:val="24"/>
        </w:rPr>
        <w:t>)</w:t>
      </w:r>
      <w:r w:rsidRPr="00B57A2A">
        <w:rPr>
          <w:rStyle w:val="FontStyle190"/>
          <w:sz w:val="24"/>
          <w:szCs w:val="24"/>
        </w:rPr>
        <w:t xml:space="preserve"> </w:t>
      </w:r>
      <w:r w:rsidR="00680308" w:rsidRPr="00B57A2A">
        <w:rPr>
          <w:rStyle w:val="FontStyle190"/>
          <w:sz w:val="24"/>
          <w:szCs w:val="24"/>
        </w:rPr>
        <w:t>62,5</w:t>
      </w:r>
      <w:r w:rsidRPr="00B57A2A">
        <w:rPr>
          <w:rStyle w:val="FontStyle190"/>
          <w:sz w:val="24"/>
          <w:szCs w:val="24"/>
        </w:rPr>
        <w:t>%, титана диоксид (Е171) 31,25%, макрогол</w:t>
      </w:r>
      <w:r w:rsidR="00357D55">
        <w:rPr>
          <w:rStyle w:val="FontStyle190"/>
          <w:b/>
          <w:sz w:val="24"/>
          <w:szCs w:val="24"/>
        </w:rPr>
        <w:t xml:space="preserve"> </w:t>
      </w:r>
      <w:r w:rsidRPr="00B57A2A">
        <w:rPr>
          <w:rStyle w:val="FontStyle190"/>
          <w:sz w:val="24"/>
          <w:szCs w:val="24"/>
        </w:rPr>
        <w:t xml:space="preserve">400 6,25%) </w:t>
      </w:r>
      <w:r w:rsidR="00680308" w:rsidRPr="00B57A2A">
        <w:rPr>
          <w:rStyle w:val="FontStyle190"/>
          <w:sz w:val="24"/>
          <w:szCs w:val="24"/>
        </w:rPr>
        <w:t>22,</w:t>
      </w:r>
      <w:r w:rsidRPr="00B57A2A">
        <w:rPr>
          <w:rStyle w:val="FontStyle190"/>
          <w:sz w:val="24"/>
          <w:szCs w:val="24"/>
        </w:rPr>
        <w:t>5 мг.</w:t>
      </w:r>
    </w:p>
    <w:p w14:paraId="2BB87B84" w14:textId="77777777" w:rsidR="00A61369" w:rsidRPr="00B57A2A" w:rsidRDefault="00A61369" w:rsidP="00357D55">
      <w:pPr>
        <w:pStyle w:val="Style13"/>
        <w:spacing w:line="360" w:lineRule="auto"/>
        <w:jc w:val="both"/>
        <w:rPr>
          <w:rStyle w:val="FontStyle187"/>
          <w:sz w:val="24"/>
          <w:szCs w:val="24"/>
        </w:rPr>
      </w:pPr>
      <w:r w:rsidRPr="00B57A2A">
        <w:rPr>
          <w:rStyle w:val="FontStyle187"/>
          <w:sz w:val="24"/>
          <w:szCs w:val="24"/>
        </w:rPr>
        <w:t>Описание</w:t>
      </w:r>
    </w:p>
    <w:p w14:paraId="5F675416" w14:textId="4F2D8CF9" w:rsidR="00680308" w:rsidRPr="00B57A2A" w:rsidRDefault="00A61369" w:rsidP="00357D55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 xml:space="preserve">Таблетки 250 </w:t>
      </w:r>
      <w:proofErr w:type="gramStart"/>
      <w:r w:rsidRPr="00B57A2A">
        <w:rPr>
          <w:rStyle w:val="FontStyle192"/>
          <w:sz w:val="24"/>
          <w:szCs w:val="24"/>
        </w:rPr>
        <w:t xml:space="preserve">мг </w:t>
      </w:r>
      <w:r w:rsidR="00680308" w:rsidRPr="00B57A2A">
        <w:rPr>
          <w:rStyle w:val="FontStyle190"/>
          <w:sz w:val="24"/>
          <w:szCs w:val="24"/>
        </w:rPr>
        <w:sym w:font="Symbol" w:char="F02D"/>
      </w:r>
      <w:r w:rsidRPr="00B57A2A">
        <w:rPr>
          <w:rStyle w:val="FontStyle190"/>
          <w:sz w:val="24"/>
          <w:szCs w:val="24"/>
        </w:rPr>
        <w:t xml:space="preserve"> белые</w:t>
      </w:r>
      <w:proofErr w:type="gramEnd"/>
      <w:r w:rsidRPr="00B57A2A">
        <w:rPr>
          <w:rStyle w:val="FontStyle190"/>
          <w:sz w:val="24"/>
          <w:szCs w:val="24"/>
        </w:rPr>
        <w:t xml:space="preserve"> или почти белые капсуловидные двояковыпуклые таблетки, покрытые п</w:t>
      </w:r>
      <w:r w:rsidR="00680308" w:rsidRPr="00B57A2A">
        <w:rPr>
          <w:rStyle w:val="FontStyle190"/>
          <w:sz w:val="24"/>
          <w:szCs w:val="24"/>
        </w:rPr>
        <w:t>леночной оболочкой,</w:t>
      </w:r>
      <w:r w:rsidRPr="00B57A2A">
        <w:rPr>
          <w:rStyle w:val="FontStyle190"/>
          <w:sz w:val="24"/>
          <w:szCs w:val="24"/>
        </w:rPr>
        <w:t xml:space="preserve"> с тиснением «</w:t>
      </w:r>
      <w:r w:rsidRPr="00B57A2A">
        <w:rPr>
          <w:rStyle w:val="FontStyle190"/>
          <w:sz w:val="24"/>
          <w:szCs w:val="24"/>
          <w:lang w:val="en-US"/>
        </w:rPr>
        <w:t>RDY</w:t>
      </w:r>
      <w:r w:rsidRPr="00B57A2A">
        <w:rPr>
          <w:rStyle w:val="FontStyle190"/>
          <w:sz w:val="24"/>
          <w:szCs w:val="24"/>
        </w:rPr>
        <w:t xml:space="preserve">» на одной стороне, </w:t>
      </w:r>
      <w:r w:rsidR="00357D55" w:rsidRPr="00357D55">
        <w:rPr>
          <w:rStyle w:val="FontStyle190"/>
          <w:sz w:val="24"/>
          <w:szCs w:val="24"/>
        </w:rPr>
        <w:t xml:space="preserve">а </w:t>
      </w:r>
      <w:r w:rsidRPr="00B57A2A">
        <w:rPr>
          <w:rStyle w:val="FontStyle190"/>
          <w:sz w:val="24"/>
          <w:szCs w:val="24"/>
        </w:rPr>
        <w:t xml:space="preserve">на другой </w:t>
      </w:r>
      <w:r w:rsidR="00680308" w:rsidRPr="00B57A2A">
        <w:rPr>
          <w:rStyle w:val="FontStyle190"/>
          <w:sz w:val="24"/>
          <w:szCs w:val="24"/>
        </w:rPr>
        <w:sym w:font="Symbol" w:char="F02D"/>
      </w:r>
      <w:r w:rsidRPr="00B57A2A">
        <w:rPr>
          <w:rStyle w:val="FontStyle190"/>
          <w:sz w:val="24"/>
          <w:szCs w:val="24"/>
        </w:rPr>
        <w:t xml:space="preserve"> «279». </w:t>
      </w:r>
    </w:p>
    <w:p w14:paraId="1A11C7BB" w14:textId="21861C7A" w:rsidR="00A61369" w:rsidRPr="00B57A2A" w:rsidRDefault="00A61369" w:rsidP="00357D55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2"/>
          <w:sz w:val="24"/>
          <w:szCs w:val="24"/>
        </w:rPr>
        <w:t xml:space="preserve">Таблетки 500 </w:t>
      </w:r>
      <w:proofErr w:type="gramStart"/>
      <w:r w:rsidRPr="00B57A2A">
        <w:rPr>
          <w:rStyle w:val="FontStyle192"/>
          <w:sz w:val="24"/>
          <w:szCs w:val="24"/>
        </w:rPr>
        <w:t xml:space="preserve">мг </w:t>
      </w:r>
      <w:r w:rsidR="00680308" w:rsidRPr="00B57A2A">
        <w:rPr>
          <w:rStyle w:val="FontStyle190"/>
          <w:sz w:val="24"/>
          <w:szCs w:val="24"/>
        </w:rPr>
        <w:sym w:font="Symbol" w:char="F02D"/>
      </w:r>
      <w:r w:rsidRPr="00B57A2A">
        <w:rPr>
          <w:rStyle w:val="FontStyle190"/>
          <w:sz w:val="24"/>
          <w:szCs w:val="24"/>
        </w:rPr>
        <w:t xml:space="preserve"> белые</w:t>
      </w:r>
      <w:proofErr w:type="gramEnd"/>
      <w:r w:rsidRPr="00B57A2A">
        <w:rPr>
          <w:rStyle w:val="FontStyle190"/>
          <w:sz w:val="24"/>
          <w:szCs w:val="24"/>
        </w:rPr>
        <w:t xml:space="preserve"> или почти белые капсуловидные двояковыпуклые таблетки, покрытые пленочной оболочкой, с тиснением «</w:t>
      </w:r>
      <w:r w:rsidRPr="00B57A2A">
        <w:rPr>
          <w:rStyle w:val="FontStyle190"/>
          <w:sz w:val="24"/>
          <w:szCs w:val="24"/>
          <w:lang w:val="en-US"/>
        </w:rPr>
        <w:t>RDY</w:t>
      </w:r>
      <w:r w:rsidRPr="00B57A2A">
        <w:rPr>
          <w:rStyle w:val="FontStyle190"/>
          <w:sz w:val="24"/>
          <w:szCs w:val="24"/>
        </w:rPr>
        <w:t xml:space="preserve">» на одной стороне, </w:t>
      </w:r>
      <w:r w:rsidR="00357D55">
        <w:rPr>
          <w:rStyle w:val="FontStyle190"/>
          <w:sz w:val="24"/>
          <w:szCs w:val="24"/>
        </w:rPr>
        <w:t xml:space="preserve">а </w:t>
      </w:r>
      <w:r w:rsidRPr="00B57A2A">
        <w:rPr>
          <w:rStyle w:val="FontStyle190"/>
          <w:sz w:val="24"/>
          <w:szCs w:val="24"/>
        </w:rPr>
        <w:t xml:space="preserve">на другой </w:t>
      </w:r>
      <w:r w:rsidR="00680308" w:rsidRPr="00B57A2A">
        <w:rPr>
          <w:rStyle w:val="FontStyle190"/>
          <w:sz w:val="24"/>
          <w:szCs w:val="24"/>
        </w:rPr>
        <w:sym w:font="Symbol" w:char="F02D"/>
      </w:r>
      <w:r w:rsidRPr="00B57A2A">
        <w:rPr>
          <w:rStyle w:val="FontStyle190"/>
          <w:sz w:val="24"/>
          <w:szCs w:val="24"/>
        </w:rPr>
        <w:t xml:space="preserve"> «280».</w:t>
      </w:r>
    </w:p>
    <w:p w14:paraId="37280E73" w14:textId="77777777" w:rsidR="00A61369" w:rsidRDefault="00A61369" w:rsidP="00B57A2A">
      <w:pPr>
        <w:pStyle w:val="Style19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87"/>
          <w:sz w:val="24"/>
          <w:szCs w:val="24"/>
        </w:rPr>
        <w:lastRenderedPageBreak/>
        <w:t xml:space="preserve">Фармакотерапевтическая группа: </w:t>
      </w:r>
      <w:r w:rsidRPr="00B57A2A">
        <w:rPr>
          <w:rStyle w:val="FontStyle190"/>
          <w:sz w:val="24"/>
          <w:szCs w:val="24"/>
        </w:rPr>
        <w:t xml:space="preserve">противомикробное </w:t>
      </w:r>
      <w:proofErr w:type="gramStart"/>
      <w:r w:rsidRPr="00B57A2A">
        <w:rPr>
          <w:rStyle w:val="FontStyle190"/>
          <w:sz w:val="24"/>
          <w:szCs w:val="24"/>
        </w:rPr>
        <w:t xml:space="preserve">средство </w:t>
      </w:r>
      <w:r w:rsidR="00680308" w:rsidRPr="00B57A2A">
        <w:rPr>
          <w:rStyle w:val="FontStyle190"/>
          <w:sz w:val="24"/>
          <w:szCs w:val="24"/>
        </w:rPr>
        <w:sym w:font="Symbol" w:char="F02D"/>
      </w:r>
      <w:r w:rsidRPr="00B57A2A">
        <w:rPr>
          <w:rStyle w:val="FontStyle190"/>
          <w:sz w:val="24"/>
          <w:szCs w:val="24"/>
        </w:rPr>
        <w:t xml:space="preserve"> фторхинолон</w:t>
      </w:r>
      <w:proofErr w:type="gramEnd"/>
      <w:r w:rsidRPr="00B57A2A">
        <w:rPr>
          <w:rStyle w:val="FontStyle190"/>
          <w:sz w:val="24"/>
          <w:szCs w:val="24"/>
        </w:rPr>
        <w:t>.</w:t>
      </w:r>
    </w:p>
    <w:p w14:paraId="16BF307D" w14:textId="77777777" w:rsidR="00A61369" w:rsidRPr="00B57A2A" w:rsidRDefault="00A61369" w:rsidP="00B57A2A">
      <w:pPr>
        <w:pStyle w:val="Style19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87"/>
          <w:sz w:val="24"/>
          <w:szCs w:val="24"/>
        </w:rPr>
        <w:t xml:space="preserve">Код </w:t>
      </w:r>
      <w:r w:rsidRPr="00B57A2A">
        <w:rPr>
          <w:rStyle w:val="FontStyle187"/>
          <w:sz w:val="24"/>
          <w:szCs w:val="24"/>
          <w:lang w:val="en-US"/>
        </w:rPr>
        <w:t>ATX</w:t>
      </w:r>
      <w:r w:rsidRPr="00B57A2A">
        <w:rPr>
          <w:rStyle w:val="FontStyle187"/>
          <w:sz w:val="24"/>
          <w:szCs w:val="24"/>
        </w:rPr>
        <w:t xml:space="preserve">: </w:t>
      </w:r>
      <w:r w:rsidRPr="00B57A2A">
        <w:rPr>
          <w:rStyle w:val="FontStyle190"/>
          <w:sz w:val="24"/>
          <w:szCs w:val="24"/>
        </w:rPr>
        <w:t>[</w:t>
      </w:r>
      <w:r w:rsidRPr="00B57A2A">
        <w:rPr>
          <w:rStyle w:val="FontStyle190"/>
          <w:sz w:val="24"/>
          <w:szCs w:val="24"/>
          <w:lang w:val="en-US"/>
        </w:rPr>
        <w:t>J</w:t>
      </w:r>
      <w:r w:rsidRPr="00B57A2A">
        <w:rPr>
          <w:rStyle w:val="FontStyle190"/>
          <w:sz w:val="24"/>
          <w:szCs w:val="24"/>
        </w:rPr>
        <w:t>01</w:t>
      </w:r>
      <w:r w:rsidRPr="00B57A2A">
        <w:rPr>
          <w:rStyle w:val="FontStyle190"/>
          <w:sz w:val="24"/>
          <w:szCs w:val="24"/>
          <w:lang w:val="en-US"/>
        </w:rPr>
        <w:t>MA</w:t>
      </w:r>
      <w:r w:rsidRPr="00B57A2A">
        <w:rPr>
          <w:rStyle w:val="FontStyle190"/>
          <w:sz w:val="24"/>
          <w:szCs w:val="24"/>
        </w:rPr>
        <w:t>12].</w:t>
      </w:r>
    </w:p>
    <w:p w14:paraId="3FB3F5AA" w14:textId="77777777" w:rsidR="0095390A" w:rsidRPr="00B57A2A" w:rsidRDefault="0095390A" w:rsidP="00B57A2A">
      <w:pPr>
        <w:pStyle w:val="Style8"/>
        <w:spacing w:line="360" w:lineRule="auto"/>
        <w:rPr>
          <w:b/>
          <w:bCs/>
        </w:rPr>
      </w:pPr>
      <w:r w:rsidRPr="00B57A2A">
        <w:rPr>
          <w:b/>
          <w:bCs/>
        </w:rPr>
        <w:t xml:space="preserve">Фармакологические свойства </w:t>
      </w:r>
    </w:p>
    <w:p w14:paraId="75E454D2" w14:textId="77777777" w:rsidR="0095390A" w:rsidRPr="00B57A2A" w:rsidRDefault="0095390A" w:rsidP="00B57A2A">
      <w:pPr>
        <w:pStyle w:val="Style8"/>
        <w:spacing w:line="360" w:lineRule="auto"/>
        <w:rPr>
          <w:b/>
          <w:bCs/>
        </w:rPr>
      </w:pPr>
      <w:r w:rsidRPr="00B57A2A">
        <w:rPr>
          <w:b/>
          <w:bCs/>
          <w:i/>
        </w:rPr>
        <w:t>Фармакодинамика</w:t>
      </w:r>
    </w:p>
    <w:p w14:paraId="5396E2DD" w14:textId="191C7217" w:rsidR="00855433" w:rsidRPr="00D96905" w:rsidRDefault="00855433" w:rsidP="00D9690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Леволет</w:t>
      </w:r>
      <w:r w:rsidRPr="00B57A2A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357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color w:val="000000"/>
          <w:sz w:val="24"/>
          <w:szCs w:val="24"/>
        </w:rPr>
        <w:t xml:space="preserve">Р – </w:t>
      </w:r>
      <w:r w:rsidRPr="00D96905">
        <w:rPr>
          <w:rFonts w:ascii="Times New Roman" w:hAnsi="Times New Roman"/>
          <w:color w:val="000000"/>
          <w:sz w:val="24"/>
          <w:szCs w:val="24"/>
        </w:rPr>
        <w:t>синтетический антибактериальный препарат</w:t>
      </w:r>
      <w:r w:rsidRPr="00B57A2A">
        <w:rPr>
          <w:rFonts w:ascii="Times New Roman" w:hAnsi="Times New Roman"/>
          <w:color w:val="000000"/>
          <w:sz w:val="24"/>
          <w:szCs w:val="24"/>
        </w:rPr>
        <w:t xml:space="preserve"> широкого спектра действия из группы фторхинолонов</w:t>
      </w:r>
      <w:r w:rsidRPr="00D96905">
        <w:rPr>
          <w:rFonts w:ascii="Times New Roman" w:hAnsi="Times New Roman"/>
          <w:color w:val="000000"/>
          <w:sz w:val="24"/>
          <w:szCs w:val="24"/>
        </w:rPr>
        <w:t>, содержащий в качестве активного вещества </w:t>
      </w:r>
      <w:r w:rsidRPr="00D96905">
        <w:rPr>
          <w:rFonts w:ascii="Times New Roman" w:hAnsi="Times New Roman"/>
          <w:color w:val="543B12"/>
          <w:sz w:val="24"/>
          <w:szCs w:val="24"/>
        </w:rPr>
        <w:t>левофлоксацин</w:t>
      </w:r>
      <w:r w:rsidRPr="00D96905">
        <w:rPr>
          <w:rFonts w:ascii="Times New Roman" w:hAnsi="Times New Roman"/>
          <w:color w:val="000000"/>
          <w:sz w:val="24"/>
          <w:szCs w:val="24"/>
        </w:rPr>
        <w:t> – левовращающий изомер офлоксацина.</w:t>
      </w:r>
    </w:p>
    <w:p w14:paraId="5E8A2BC0" w14:textId="77777777" w:rsidR="00E218BB" w:rsidRPr="00B57A2A" w:rsidRDefault="00855433" w:rsidP="00D96905">
      <w:pPr>
        <w:pStyle w:val="Style8"/>
        <w:spacing w:line="360" w:lineRule="auto"/>
        <w:rPr>
          <w:bCs/>
        </w:rPr>
      </w:pPr>
      <w:r w:rsidRPr="00D96905">
        <w:rPr>
          <w:color w:val="000000"/>
        </w:rPr>
        <w:t>Левофлоксацин блокирует</w:t>
      </w:r>
      <w:r w:rsidRPr="00B57A2A">
        <w:rPr>
          <w:color w:val="000000"/>
        </w:rPr>
        <w:t xml:space="preserve"> ДНК-гиразу и топоизомеразу IV, нарушает суперспирализацию и сшивку разрывов ДНК, ингибирует синтез ДНК, вызывает глубокие морфологические изменения в цитоплазме, клеточной стенке и </w:t>
      </w:r>
      <w:r w:rsidRPr="00D96905">
        <w:rPr>
          <w:color w:val="000000"/>
        </w:rPr>
        <w:t>мембранах микробных клеток.</w:t>
      </w:r>
      <w:r w:rsidRPr="00B57A2A">
        <w:rPr>
          <w:color w:val="000000"/>
        </w:rPr>
        <w:t> </w:t>
      </w:r>
    </w:p>
    <w:p w14:paraId="75BD3B10" w14:textId="77777777" w:rsidR="00855433" w:rsidRPr="00B57A2A" w:rsidRDefault="00F96E7F" w:rsidP="00D9690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tgtFrame="_blank" w:history="1">
        <w:r w:rsidR="00855433" w:rsidRPr="00357D55">
          <w:rPr>
            <w:rFonts w:ascii="Times New Roman" w:hAnsi="Times New Roman"/>
            <w:color w:val="000000"/>
            <w:sz w:val="24"/>
            <w:szCs w:val="24"/>
          </w:rPr>
          <w:t>Левофлоксацин</w:t>
        </w:r>
      </w:hyperlink>
      <w:r w:rsidR="00855433" w:rsidRPr="00B57A2A">
        <w:rPr>
          <w:rFonts w:ascii="Times New Roman" w:hAnsi="Times New Roman"/>
          <w:color w:val="000000"/>
          <w:sz w:val="24"/>
          <w:szCs w:val="24"/>
        </w:rPr>
        <w:t> активен в отношении большинства штаммов микроорганизмов, как в условиях </w:t>
      </w:r>
      <w:r w:rsidR="00855433" w:rsidRPr="00B57A2A">
        <w:rPr>
          <w:rFonts w:ascii="Times New Roman" w:hAnsi="Times New Roman"/>
          <w:i/>
          <w:iCs/>
          <w:color w:val="000000"/>
          <w:sz w:val="24"/>
          <w:szCs w:val="24"/>
        </w:rPr>
        <w:t>in vitro,</w:t>
      </w:r>
      <w:r w:rsidR="00855433" w:rsidRPr="00B57A2A">
        <w:rPr>
          <w:rFonts w:ascii="Times New Roman" w:hAnsi="Times New Roman"/>
          <w:color w:val="000000"/>
          <w:sz w:val="24"/>
          <w:szCs w:val="24"/>
        </w:rPr>
        <w:t> так и </w:t>
      </w:r>
      <w:r w:rsidR="00855433" w:rsidRPr="00B57A2A">
        <w:rPr>
          <w:rFonts w:ascii="Times New Roman" w:hAnsi="Times New Roman"/>
          <w:i/>
          <w:iCs/>
          <w:color w:val="000000"/>
          <w:sz w:val="24"/>
          <w:szCs w:val="24"/>
        </w:rPr>
        <w:t>in vivo.</w:t>
      </w:r>
    </w:p>
    <w:p w14:paraId="778FDE9A" w14:textId="77777777" w:rsidR="00855433" w:rsidRPr="00B57A2A" w:rsidRDefault="00855433" w:rsidP="00D9690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In vitro</w:t>
      </w:r>
    </w:p>
    <w:p w14:paraId="655BBBA5" w14:textId="77777777" w:rsidR="00855433" w:rsidRPr="00B57A2A" w:rsidRDefault="00855433" w:rsidP="00D9690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Чувствительные микроорганизмы (МПК ≤2 мг/л; зона ингибирования ≥1</w:t>
      </w:r>
      <w:r w:rsidRPr="00357D55"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B57A2A">
        <w:rPr>
          <w:rFonts w:ascii="Times New Roman" w:hAnsi="Times New Roman"/>
          <w:color w:val="000000"/>
          <w:sz w:val="24"/>
          <w:szCs w:val="24"/>
        </w:rPr>
        <w:t> 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мм)</w:t>
      </w:r>
    </w:p>
    <w:p w14:paraId="6124E864" w14:textId="6CE3B79E" w:rsidR="00855433" w:rsidRPr="00D96905" w:rsidRDefault="00855433" w:rsidP="00F95EE1">
      <w:pPr>
        <w:widowControl w:val="0"/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- Аэробные гр</w:t>
      </w:r>
      <w:r w:rsidR="00F95EE1">
        <w:rPr>
          <w:rFonts w:ascii="Times New Roman" w:hAnsi="Times New Roman"/>
          <w:color w:val="000000"/>
          <w:sz w:val="24"/>
          <w:szCs w:val="24"/>
        </w:rPr>
        <w:t xml:space="preserve">амположительные микроорганизмы: 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Bacillus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anthracis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Corynebacterium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diphtheriae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Coryn</w:t>
      </w:r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ebacterium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j</w:t>
      </w:r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eikeium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Enterococcus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faecalis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Enterococcus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spp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>Listeria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monocytogenes, Staphylococcus coagulase-negative methi-S(I) </w:t>
      </w:r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[(</w:t>
      </w:r>
      <w:proofErr w:type="spellStart"/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коагулазонегативные</w:t>
      </w:r>
      <w:proofErr w:type="spellEnd"/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метициллин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-чувствителъные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/-умеренно чувствительные],</w:t>
      </w:r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Staphylococcus aureus methi-S (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метициллин-чувствителъные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), Staphylococcus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epidermidis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methi-S (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метициллин-чувствителъные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), Staphylococcus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spp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CNS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коагулазонегат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ивные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),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Streptococci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группы С и G,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Streptococcus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agalactiae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Streptococcus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pneumoniae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peni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I/S/R</w:t>
      </w:r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(пенициллин-умеренно чувствительные/-чувствительные/-</w:t>
      </w:r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резистентные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Streptococcus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pyogenes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Viridans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streptococci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peni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-S/R (пенициллин-чувствительные/ </w:t>
      </w:r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-резистентные).</w:t>
      </w:r>
    </w:p>
    <w:p w14:paraId="5FF43C49" w14:textId="061B4879" w:rsidR="00855433" w:rsidRPr="0012465A" w:rsidRDefault="00855433" w:rsidP="00F95EE1">
      <w:pPr>
        <w:widowControl w:val="0"/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- Аэробные грамотрицательные микроорганизмы:</w:t>
      </w:r>
      <w:r w:rsidR="00D969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Acinetobacter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baumannii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Acinetobacter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spp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Actinobacillus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actinomycetemcomitans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Citrobacter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freundii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Eikenella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corrodens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Enterobacter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aerogenes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Enterobacter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cloacae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Enterobacter</w:t>
      </w:r>
      <w:proofErr w:type="spellEnd"/>
      <w:r w:rsidR="00D96905" w:rsidRP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spp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scherichia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coli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Gardnerella</w:t>
      </w:r>
      <w:proofErr w:type="spellEnd"/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vaginalis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Haemophilus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ducreyi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Haemophilus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influenzae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ampi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-S/R (ампициллин-чувствительные/-резистентные),</w:t>
      </w:r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Haemophilus</w:t>
      </w:r>
      <w:proofErr w:type="spellEnd"/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parainfluenzae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Helicobacter pylori,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Klebsiella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oxytoca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Klebsiella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pneumoniae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Klebsiella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>spp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Moraxella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catarrhalis</w:t>
      </w:r>
      <w:proofErr w:type="spellEnd"/>
      <w:r w:rsidRPr="00B57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sz w:val="24"/>
          <w:szCs w:val="24"/>
        </w:rPr>
        <w:t>β+/β-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(продуцирующие и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непродуцирующие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бета</w:t>
      </w:r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D96905">
        <w:rPr>
          <w:rFonts w:ascii="Times New Roman" w:hAnsi="Times New Roman"/>
          <w:i/>
          <w:iCs/>
          <w:color w:val="000000"/>
          <w:sz w:val="24"/>
          <w:szCs w:val="24"/>
        </w:rPr>
        <w:t>лактамазы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Morganella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morganii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Neisseria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gonorrhoeae</w:t>
      </w:r>
      <w:proofErr w:type="spellEnd"/>
      <w:r w:rsidR="00D969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non</w:t>
      </w:r>
      <w:proofErr w:type="spellEnd"/>
      <w:r w:rsid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PPNG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PPNG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непродуцирующие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продуцирующие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пенициллиназу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),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Neisseria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meningitidis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Pasteurella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canis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Pasteurella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dagmatis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Pasteurella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multocida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Pasteurella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Proteus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mirabilis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Proteus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vulgaris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Providencia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rettgeri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Providencia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stuartii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Providencia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.,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Pseudomonas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12465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aeruginosa</w:t>
      </w:r>
      <w:r w:rsidR="0012465A"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госпитальные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инфекции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вызванные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Pseudomonas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aeruginosa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могут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потребовать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комбинированного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лечения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 xml:space="preserve">), </w:t>
      </w:r>
      <w:r w:rsidR="00F60432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Pseudomonas</w:t>
      </w:r>
      <w:r w:rsidR="00F60432"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lastRenderedPageBreak/>
        <w:t>spp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.,</w:t>
      </w:r>
      <w:r w:rsidR="00F60432"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60432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Salmonella</w:t>
      </w:r>
      <w:r w:rsidR="00F60432"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.,</w:t>
      </w:r>
      <w:r w:rsidR="00F60432"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60432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Serratia</w:t>
      </w:r>
      <w:r w:rsidR="00F60432"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marcescens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F60432"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60432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Serratia</w:t>
      </w:r>
      <w:r w:rsidR="00F60432"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465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37B9B54E" w14:textId="77777777" w:rsidR="00855433" w:rsidRPr="00120224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1202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7A2A">
        <w:rPr>
          <w:rFonts w:ascii="Times New Roman" w:hAnsi="Times New Roman"/>
          <w:color w:val="000000"/>
          <w:sz w:val="24"/>
          <w:szCs w:val="24"/>
        </w:rPr>
        <w:t>Анаэробные</w:t>
      </w:r>
      <w:r w:rsidRPr="00120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color w:val="000000"/>
          <w:sz w:val="24"/>
          <w:szCs w:val="24"/>
        </w:rPr>
        <w:t>микроорганизмы</w:t>
      </w:r>
      <w:r w:rsidRPr="0012022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Bacteroides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fragilis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Bifidobacterium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Clostridium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perfringens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Fusobacterium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Peptostreptococcus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Propionibacterium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Veillonella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6A6D43AE" w14:textId="0CD12150" w:rsidR="00855433" w:rsidRPr="00120224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1202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7A2A">
        <w:rPr>
          <w:rFonts w:ascii="Times New Roman" w:hAnsi="Times New Roman"/>
          <w:color w:val="000000"/>
          <w:sz w:val="24"/>
          <w:szCs w:val="24"/>
        </w:rPr>
        <w:t>Другие</w:t>
      </w:r>
      <w:r w:rsidRPr="00120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color w:val="000000"/>
          <w:sz w:val="24"/>
          <w:szCs w:val="24"/>
        </w:rPr>
        <w:t>микроорганизмы</w:t>
      </w:r>
      <w:r w:rsidRPr="0012022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95EE1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Bartonella</w:t>
      </w:r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="00F95EE1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Chlamydia</w:t>
      </w:r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pneumoniae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Chlamydia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psittaci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Chlamydia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trachomatis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Legionella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pneumophila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Legionella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Mycobacterium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Mycobacterium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leprae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Mycobacterium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tuberculosis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Mycoplasma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hominis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Mycoplasma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pneumoniae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Rickettsia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spp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Ureaplasma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urealyticum</w:t>
      </w:r>
      <w:r w:rsidRPr="0012022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7CCA5BF3" w14:textId="01B218AF" w:rsidR="00855433" w:rsidRPr="00B57A2A" w:rsidRDefault="00855433" w:rsidP="00F6043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Умеренно чувствительные микроорганизмы (МПК</w:t>
      </w:r>
      <w:r w:rsidR="00F95EE1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4 мг/л</w:t>
      </w:r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; зона ингибирования 16-14 мм)</w:t>
      </w:r>
    </w:p>
    <w:p w14:paraId="7A366F23" w14:textId="77777777" w:rsidR="00855433" w:rsidRPr="00F60432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- Аэробные грамположительные микроорганизмы: 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Corynebacterium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60432">
        <w:rPr>
          <w:rFonts w:ascii="Times New Roman" w:hAnsi="Times New Roman"/>
          <w:i/>
          <w:iCs/>
          <w:color w:val="000000"/>
          <w:sz w:val="24"/>
          <w:szCs w:val="24"/>
        </w:rPr>
        <w:t>urealyticum</w:t>
      </w:r>
      <w:proofErr w:type="spellEnd"/>
      <w:r w:rsid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Corynebacterium</w:t>
      </w:r>
      <w:proofErr w:type="spellEnd"/>
      <w:r w:rsid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xerosis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Enterococcus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faecium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, Staphylococcus </w:t>
      </w:r>
      <w:proofErr w:type="spellStart"/>
      <w:r w:rsidR="00F60432">
        <w:rPr>
          <w:rFonts w:ascii="Times New Roman" w:hAnsi="Times New Roman"/>
          <w:i/>
          <w:iCs/>
          <w:color w:val="000000"/>
          <w:sz w:val="24"/>
          <w:szCs w:val="24"/>
        </w:rPr>
        <w:t>epidermidis</w:t>
      </w:r>
      <w:proofErr w:type="spellEnd"/>
      <w:r w:rsid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methi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-R (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метициллин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резистентные</w:t>
      </w:r>
      <w:r w:rsid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), </w:t>
      </w:r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Staphylococcus </w:t>
      </w:r>
      <w:proofErr w:type="spellStart"/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haemolyticus</w:t>
      </w:r>
      <w:proofErr w:type="spellEnd"/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methi</w:t>
      </w:r>
      <w:proofErr w:type="spellEnd"/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-R</w:t>
      </w:r>
      <w:r w:rsidR="00F604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метициллин</w:t>
      </w:r>
      <w:proofErr w:type="spellEnd"/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- резистентные).</w:t>
      </w:r>
    </w:p>
    <w:p w14:paraId="15528748" w14:textId="77777777" w:rsidR="00855433" w:rsidRPr="00B57A2A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 xml:space="preserve">- Аэробные грамотрицательные микроорганизмы: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Campylobacter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jejuni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coli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1A1C887C" w14:textId="77777777" w:rsidR="00855433" w:rsidRPr="00B57A2A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 xml:space="preserve">- Анаэробные микроорганизмы: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Prevotella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spp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Porphyromonas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spp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53ACC0C8" w14:textId="219A668D" w:rsidR="00855433" w:rsidRPr="00F95EE1" w:rsidRDefault="00855433" w:rsidP="00F95EE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Резистентные к левофлоксацину микроорганизмы (МПК ≥8 мг/л; зона ингибирования ≤13</w:t>
      </w:r>
      <w:r w:rsidR="00F95EE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F60432">
        <w:rPr>
          <w:rFonts w:ascii="Times New Roman" w:hAnsi="Times New Roman"/>
          <w:i/>
          <w:iCs/>
          <w:color w:val="000000"/>
          <w:sz w:val="24"/>
          <w:szCs w:val="24"/>
        </w:rPr>
        <w:t>мм)</w:t>
      </w:r>
    </w:p>
    <w:p w14:paraId="256C9A4A" w14:textId="333E92B6" w:rsidR="00855433" w:rsidRPr="00B57A2A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- Аэробные грампол</w:t>
      </w:r>
      <w:r w:rsidR="00461FBF">
        <w:rPr>
          <w:rFonts w:ascii="Times New Roman" w:hAnsi="Times New Roman"/>
          <w:color w:val="000000"/>
          <w:sz w:val="24"/>
          <w:szCs w:val="24"/>
        </w:rPr>
        <w:t xml:space="preserve">ожительные микроорганизмы: </w:t>
      </w:r>
      <w:r w:rsidR="00461FBF">
        <w:rPr>
          <w:rFonts w:ascii="Times New Roman" w:hAnsi="Times New Roman"/>
          <w:i/>
          <w:iCs/>
          <w:color w:val="000000"/>
          <w:sz w:val="24"/>
          <w:szCs w:val="24"/>
        </w:rPr>
        <w:t xml:space="preserve">Staphylococcus aureus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methi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-R</w:t>
      </w:r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461FBF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="00461FBF">
        <w:rPr>
          <w:rFonts w:ascii="Times New Roman" w:hAnsi="Times New Roman"/>
          <w:i/>
          <w:iCs/>
          <w:color w:val="000000"/>
          <w:sz w:val="24"/>
          <w:szCs w:val="24"/>
        </w:rPr>
        <w:t>метициллин</w:t>
      </w:r>
      <w:proofErr w:type="spellEnd"/>
      <w:r w:rsidR="00461FBF">
        <w:rPr>
          <w:rFonts w:ascii="Times New Roman" w:hAnsi="Times New Roman"/>
          <w:i/>
          <w:iCs/>
          <w:color w:val="000000"/>
          <w:sz w:val="24"/>
          <w:szCs w:val="24"/>
        </w:rPr>
        <w:t xml:space="preserve">-резистентные), Staphylococcus coagulase-negative </w:t>
      </w:r>
      <w:proofErr w:type="spellStart"/>
      <w:r w:rsidR="00461FBF">
        <w:rPr>
          <w:rFonts w:ascii="Times New Roman" w:hAnsi="Times New Roman"/>
          <w:i/>
          <w:iCs/>
          <w:color w:val="000000"/>
          <w:sz w:val="24"/>
          <w:szCs w:val="24"/>
        </w:rPr>
        <w:t>methi</w:t>
      </w:r>
      <w:proofErr w:type="spellEnd"/>
      <w:r w:rsidR="00461FBF">
        <w:rPr>
          <w:rFonts w:ascii="Times New Roman" w:hAnsi="Times New Roman"/>
          <w:i/>
          <w:iCs/>
          <w:color w:val="000000"/>
          <w:sz w:val="24"/>
          <w:szCs w:val="24"/>
        </w:rPr>
        <w:t xml:space="preserve">-R </w:t>
      </w: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коагулазонегативные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метициллин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-резистентные).</w:t>
      </w:r>
    </w:p>
    <w:p w14:paraId="5267D65C" w14:textId="77777777" w:rsidR="00855433" w:rsidRPr="00B57A2A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- Аэробные грамотрицательные микроорганизмы: 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Alcaligenes</w:t>
      </w:r>
      <w:proofErr w:type="spellEnd"/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xylosoxidans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74975A37" w14:textId="77777777" w:rsidR="00855433" w:rsidRPr="00B57A2A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- Анаэробные микроорганизмы: 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Bacteroides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thetaiotaomicron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6D6CE52A" w14:textId="77777777" w:rsidR="00855433" w:rsidRPr="00B57A2A" w:rsidRDefault="00855433" w:rsidP="00F95EE1">
      <w:pPr>
        <w:shd w:val="clear" w:color="auto" w:fill="FFFFFF"/>
        <w:spacing w:after="0" w:line="36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- Другие микроорганизмы: 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Mycobacterium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avium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05A07FC3" w14:textId="77777777" w:rsidR="00855433" w:rsidRPr="00B57A2A" w:rsidRDefault="00855433" w:rsidP="00823B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Резистентность</w:t>
      </w:r>
    </w:p>
    <w:p w14:paraId="795206EC" w14:textId="77777777" w:rsidR="00855433" w:rsidRPr="00B57A2A" w:rsidRDefault="00855433" w:rsidP="00823B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 xml:space="preserve">Резистентность к левофлоксацину развивается в результате поэтапного процесса мутаций генов, кодирующих обе </w:t>
      </w:r>
      <w:proofErr w:type="spellStart"/>
      <w:r w:rsidRPr="00B57A2A">
        <w:rPr>
          <w:rFonts w:ascii="Times New Roman" w:hAnsi="Times New Roman"/>
          <w:color w:val="000000"/>
          <w:sz w:val="24"/>
          <w:szCs w:val="24"/>
        </w:rPr>
        <w:t>топоизомеразы</w:t>
      </w:r>
      <w:proofErr w:type="spellEnd"/>
      <w:r w:rsidRPr="00B57A2A">
        <w:rPr>
          <w:rFonts w:ascii="Times New Roman" w:hAnsi="Times New Roman"/>
          <w:color w:val="000000"/>
          <w:sz w:val="24"/>
          <w:szCs w:val="24"/>
        </w:rPr>
        <w:t xml:space="preserve"> типа </w:t>
      </w:r>
      <w:proofErr w:type="spellStart"/>
      <w:r w:rsidRPr="00B57A2A">
        <w:rPr>
          <w:rFonts w:ascii="Times New Roman" w:hAnsi="Times New Roman"/>
          <w:color w:val="000000"/>
          <w:sz w:val="24"/>
          <w:szCs w:val="24"/>
        </w:rPr>
        <w:t>II</w:t>
      </w:r>
      <w:proofErr w:type="spellEnd"/>
      <w:r w:rsidRPr="00B57A2A">
        <w:rPr>
          <w:rFonts w:ascii="Times New Roman" w:hAnsi="Times New Roman"/>
          <w:color w:val="000000"/>
          <w:sz w:val="24"/>
          <w:szCs w:val="24"/>
        </w:rPr>
        <w:t>: ДНК-</w:t>
      </w:r>
      <w:proofErr w:type="spellStart"/>
      <w:r w:rsidRPr="00B57A2A">
        <w:rPr>
          <w:rFonts w:ascii="Times New Roman" w:hAnsi="Times New Roman"/>
          <w:color w:val="000000"/>
          <w:sz w:val="24"/>
          <w:szCs w:val="24"/>
        </w:rPr>
        <w:t>гиразу</w:t>
      </w:r>
      <w:proofErr w:type="spellEnd"/>
      <w:r w:rsidRPr="00B57A2A">
        <w:rPr>
          <w:rFonts w:ascii="Times New Roman" w:hAnsi="Times New Roman"/>
          <w:color w:val="000000"/>
          <w:sz w:val="24"/>
          <w:szCs w:val="24"/>
        </w:rPr>
        <w:t xml:space="preserve"> и топоизомеразу IV. Другие механизмы резистентности, такие как механизм влияния на пенетрационные барьеры микробной клетки </w:t>
      </w:r>
      <w:r w:rsidRPr="00823B3E">
        <w:rPr>
          <w:rFonts w:ascii="Times New Roman" w:hAnsi="Times New Roman"/>
          <w:color w:val="000000"/>
          <w:sz w:val="24"/>
          <w:szCs w:val="24"/>
        </w:rPr>
        <w:t>(механизм, характерный для </w:t>
      </w:r>
      <w:r w:rsidRPr="00823B3E">
        <w:rPr>
          <w:rFonts w:ascii="Times New Roman" w:hAnsi="Times New Roman"/>
          <w:i/>
          <w:iCs/>
          <w:color w:val="000000"/>
          <w:sz w:val="24"/>
          <w:szCs w:val="24"/>
        </w:rPr>
        <w:t>Pseudomonas aeruginosa</w:t>
      </w:r>
      <w:r w:rsidRPr="00823B3E">
        <w:rPr>
          <w:rFonts w:ascii="Times New Roman" w:hAnsi="Times New Roman"/>
          <w:color w:val="000000"/>
          <w:sz w:val="24"/>
          <w:szCs w:val="24"/>
        </w:rPr>
        <w:t xml:space="preserve">) и механизм </w:t>
      </w:r>
      <w:proofErr w:type="spellStart"/>
      <w:r w:rsidRPr="00823B3E">
        <w:rPr>
          <w:rFonts w:ascii="Times New Roman" w:hAnsi="Times New Roman"/>
          <w:color w:val="000000"/>
          <w:sz w:val="24"/>
          <w:szCs w:val="24"/>
        </w:rPr>
        <w:t>эффлюкса</w:t>
      </w:r>
      <w:proofErr w:type="spellEnd"/>
      <w:r w:rsidRPr="00823B3E">
        <w:rPr>
          <w:rFonts w:ascii="Times New Roman" w:hAnsi="Times New Roman"/>
          <w:color w:val="000000"/>
          <w:sz w:val="24"/>
          <w:szCs w:val="24"/>
        </w:rPr>
        <w:t xml:space="preserve"> (активного выведения противомикробного средства из микробной клетки),</w:t>
      </w:r>
      <w:r w:rsidRPr="00B57A2A">
        <w:rPr>
          <w:rFonts w:ascii="Times New Roman" w:hAnsi="Times New Roman"/>
          <w:color w:val="000000"/>
          <w:sz w:val="24"/>
          <w:szCs w:val="24"/>
        </w:rPr>
        <w:t xml:space="preserve"> могут также уменьшать чувствительность микроорганизмов к левофлоксацину.</w:t>
      </w:r>
    </w:p>
    <w:p w14:paraId="5AE07695" w14:textId="77777777" w:rsidR="00855433" w:rsidRPr="00B57A2A" w:rsidRDefault="00855433" w:rsidP="00823B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В связи с особенностями механизма действия левофлоксацина обычно не наблюдается перекрестной резистентности между левофлоксацином и другими противомикробными средствами.</w:t>
      </w:r>
    </w:p>
    <w:p w14:paraId="70320CDD" w14:textId="77777777" w:rsidR="00855433" w:rsidRPr="00B57A2A" w:rsidRDefault="00855433" w:rsidP="00823B3E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Клиническая эффективность (эффективность в клинических исследованиях при лечении инфекций, вызываемых перечисленными ниже микроорганизмами)</w:t>
      </w:r>
    </w:p>
    <w:p w14:paraId="4B247937" w14:textId="465FA12F" w:rsidR="00855433" w:rsidRPr="00B57A2A" w:rsidRDefault="00855433" w:rsidP="00823B3E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Аэробные гр</w:t>
      </w:r>
      <w:r w:rsidR="00823B3E">
        <w:rPr>
          <w:rFonts w:ascii="Times New Roman" w:hAnsi="Times New Roman"/>
          <w:color w:val="000000"/>
          <w:sz w:val="24"/>
          <w:szCs w:val="24"/>
        </w:rPr>
        <w:t xml:space="preserve">амположительные микроорганизмы: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Enterococcus</w:t>
      </w:r>
      <w:proofErr w:type="spellEnd"/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faecalis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, Staph</w:t>
      </w:r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 xml:space="preserve">ylococcus </w:t>
      </w:r>
      <w:r w:rsidR="009D6A8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proofErr w:type="spellStart"/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>ureus</w:t>
      </w:r>
      <w:proofErr w:type="spellEnd"/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Streptococcus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>pneumoniae</w:t>
      </w:r>
      <w:proofErr w:type="spellEnd"/>
      <w:r w:rsidR="00823B3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Streptococcus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pyogenes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514B016E" w14:textId="2158A4F6" w:rsidR="00855433" w:rsidRPr="00B57A2A" w:rsidRDefault="00855433" w:rsidP="00823B3E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A2A">
        <w:rPr>
          <w:rFonts w:ascii="Times New Roman" w:hAnsi="Times New Roman"/>
          <w:color w:val="000000"/>
          <w:sz w:val="24"/>
          <w:szCs w:val="24"/>
        </w:rPr>
        <w:t>Аэробные грамотрицательные микроорганизмы:</w:t>
      </w:r>
      <w:r w:rsidR="00F95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Citrobacter</w:t>
      </w:r>
      <w:proofErr w:type="spellEnd"/>
      <w:r w:rsidR="00F95EE1" w:rsidRPr="00F95E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freundii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Enterobacter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cloacae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Escherichi</w:t>
      </w:r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coli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Haemophilus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influenzae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Haemophilus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parainfluenzae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Klebsiella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pneumoniae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Moraxella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Branhamella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catarrhalis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Morganella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morganii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Proteus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mir</w:t>
      </w:r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abilis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Pseudomonas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aeruginosa, </w:t>
      </w:r>
      <w:proofErr w:type="spellStart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>Serratia</w:t>
      </w:r>
      <w:proofErr w:type="spellEnd"/>
      <w:r w:rsidR="00132D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marcescens</w:t>
      </w:r>
      <w:proofErr w:type="spellEnd"/>
      <w:r w:rsidRPr="00B57A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4582B99E" w14:textId="77777777" w:rsidR="00855433" w:rsidRPr="00A01090" w:rsidRDefault="00855433" w:rsidP="00823B3E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B57A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Другие</w:t>
      </w:r>
      <w:r w:rsidRPr="00A010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7E4A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E4A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Chlamydia</w:t>
      </w:r>
      <w:r w:rsidRPr="00A0109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E4A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pneumoniae</w:t>
      </w:r>
      <w:r w:rsidRPr="00A0109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7E4A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Legionella</w:t>
      </w:r>
      <w:r w:rsidRPr="00A0109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4A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pneumophila</w:t>
      </w:r>
      <w:proofErr w:type="spellEnd"/>
      <w:r w:rsidRPr="00A0109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7E4A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Mycoplasma</w:t>
      </w:r>
      <w:r w:rsidRPr="00A0109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E4A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pneumoniae</w:t>
      </w:r>
      <w:r w:rsidRPr="00A0109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317C860" w14:textId="77777777" w:rsidR="00855433" w:rsidRPr="00B57A2A" w:rsidRDefault="00855433" w:rsidP="00823B3E">
      <w:pPr>
        <w:pStyle w:val="Style8"/>
        <w:spacing w:line="360" w:lineRule="auto"/>
        <w:rPr>
          <w:b/>
          <w:i/>
        </w:rPr>
      </w:pPr>
      <w:r w:rsidRPr="00B57A2A">
        <w:rPr>
          <w:b/>
          <w:i/>
        </w:rPr>
        <w:t>Фармакокинетика</w:t>
      </w:r>
    </w:p>
    <w:p w14:paraId="026EECE3" w14:textId="77777777" w:rsidR="00855433" w:rsidRPr="00B57A2A" w:rsidRDefault="00855433" w:rsidP="00823B3E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Абсорбция</w:t>
      </w:r>
    </w:p>
    <w:p w14:paraId="7482640E" w14:textId="77777777" w:rsidR="00855433" w:rsidRPr="00823B3E" w:rsidRDefault="00855433" w:rsidP="00823B3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B3E">
        <w:rPr>
          <w:rFonts w:ascii="Times New Roman" w:hAnsi="Times New Roman"/>
          <w:sz w:val="24"/>
          <w:szCs w:val="24"/>
        </w:rPr>
        <w:t xml:space="preserve">Левофлоксацин быстро и практически полностью всасывается после приема внутрь, прием пищи мало влияет на его абсорбцию. </w:t>
      </w:r>
    </w:p>
    <w:p w14:paraId="494551A4" w14:textId="77777777" w:rsidR="00855433" w:rsidRPr="00823B3E" w:rsidRDefault="00855433" w:rsidP="0082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B3E">
        <w:rPr>
          <w:rFonts w:ascii="Times New Roman" w:hAnsi="Times New Roman"/>
          <w:sz w:val="24"/>
          <w:szCs w:val="24"/>
        </w:rPr>
        <w:t>Абсолютная биодоступность при приеме внутрь составляет 99-100%. После однократного приема 500 мг левофлоксацина максимальная концентрация в плазме крови (С</w:t>
      </w:r>
      <w:r w:rsidRPr="00823B3E">
        <w:rPr>
          <w:rFonts w:ascii="Times New Roman" w:hAnsi="Times New Roman"/>
          <w:sz w:val="24"/>
          <w:szCs w:val="24"/>
          <w:vertAlign w:val="subscript"/>
        </w:rPr>
        <w:t>mах</w:t>
      </w:r>
      <w:r w:rsidRPr="00823B3E">
        <w:rPr>
          <w:rFonts w:ascii="Times New Roman" w:hAnsi="Times New Roman"/>
          <w:sz w:val="24"/>
          <w:szCs w:val="24"/>
        </w:rPr>
        <w:t>) достигается в течение 1-2 ч и составляет 5,2±1,2 мкг/мл. Фармакокинетика левофлоксацина является линейной в диапазоне доз от 50 до 1000 мг. Равновесное состояние концентрации левофлоксацина в плазме крови при приеме 500 мг левофлоксацина 1 или 2 раза в сутки достигается в течение 48 ч.</w:t>
      </w:r>
    </w:p>
    <w:p w14:paraId="0359E85C" w14:textId="0B7223B3" w:rsidR="00855433" w:rsidRPr="00823B3E" w:rsidRDefault="00855433" w:rsidP="0082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B3E">
        <w:rPr>
          <w:rFonts w:ascii="Times New Roman" w:hAnsi="Times New Roman"/>
          <w:sz w:val="24"/>
          <w:szCs w:val="24"/>
        </w:rPr>
        <w:t xml:space="preserve">На 10 день приема </w:t>
      </w:r>
      <w:r w:rsidR="007E4A5A" w:rsidRPr="00823B3E">
        <w:rPr>
          <w:rFonts w:ascii="Times New Roman" w:hAnsi="Times New Roman"/>
          <w:sz w:val="24"/>
          <w:szCs w:val="24"/>
        </w:rPr>
        <w:t>внутрь 500</w:t>
      </w:r>
      <w:r w:rsidRPr="00823B3E">
        <w:rPr>
          <w:rFonts w:ascii="Times New Roman" w:hAnsi="Times New Roman"/>
          <w:sz w:val="24"/>
          <w:szCs w:val="24"/>
        </w:rPr>
        <w:t xml:space="preserve"> мг </w:t>
      </w:r>
      <w:r w:rsidR="007E4A5A" w:rsidRPr="00823B3E">
        <w:rPr>
          <w:rFonts w:ascii="Times New Roman" w:hAnsi="Times New Roman"/>
          <w:sz w:val="24"/>
          <w:szCs w:val="24"/>
        </w:rPr>
        <w:t xml:space="preserve">левофлоксацина </w:t>
      </w:r>
      <w:r w:rsidRPr="00823B3E">
        <w:rPr>
          <w:rFonts w:ascii="Times New Roman" w:hAnsi="Times New Roman"/>
          <w:sz w:val="24"/>
          <w:szCs w:val="24"/>
        </w:rPr>
        <w:t>1 раз в сутки С</w:t>
      </w:r>
      <w:r w:rsidRPr="00823B3E">
        <w:rPr>
          <w:rFonts w:ascii="Times New Roman" w:hAnsi="Times New Roman"/>
          <w:sz w:val="24"/>
          <w:szCs w:val="24"/>
          <w:vertAlign w:val="subscript"/>
        </w:rPr>
        <w:t>mах</w:t>
      </w:r>
      <w:r w:rsidRPr="00823B3E">
        <w:rPr>
          <w:rFonts w:ascii="Times New Roman" w:hAnsi="Times New Roman"/>
          <w:sz w:val="24"/>
          <w:szCs w:val="24"/>
        </w:rPr>
        <w:t> левофлоксацина составляла 5,7±1,4 мкг/мл, а минимальная концентрация левофлоксацина (концентрация перед приемом очередной дозы) (С</w:t>
      </w:r>
      <w:r w:rsidRPr="00823B3E">
        <w:rPr>
          <w:rFonts w:ascii="Times New Roman" w:hAnsi="Times New Roman"/>
          <w:sz w:val="24"/>
          <w:szCs w:val="24"/>
          <w:vertAlign w:val="subscript"/>
        </w:rPr>
        <w:t>m</w:t>
      </w:r>
      <w:r w:rsidR="007E4A5A">
        <w:rPr>
          <w:rFonts w:ascii="Times New Roman" w:hAnsi="Times New Roman"/>
          <w:sz w:val="24"/>
          <w:szCs w:val="24"/>
          <w:vertAlign w:val="subscript"/>
          <w:lang w:val="en-US"/>
        </w:rPr>
        <w:t>in</w:t>
      </w:r>
      <w:r w:rsidRPr="00823B3E">
        <w:rPr>
          <w:rFonts w:ascii="Times New Roman" w:hAnsi="Times New Roman"/>
          <w:sz w:val="24"/>
          <w:szCs w:val="24"/>
        </w:rPr>
        <w:t>) в плазме крови составляла 0,5±0,2 мкг/мл.</w:t>
      </w:r>
    </w:p>
    <w:p w14:paraId="2B33B47D" w14:textId="3ABD1007" w:rsidR="00855433" w:rsidRPr="00823B3E" w:rsidRDefault="00855433" w:rsidP="0082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B3E">
        <w:rPr>
          <w:rFonts w:ascii="Times New Roman" w:hAnsi="Times New Roman"/>
          <w:sz w:val="24"/>
          <w:szCs w:val="24"/>
        </w:rPr>
        <w:t xml:space="preserve">На 10 день приема внутрь 500 мг </w:t>
      </w:r>
      <w:r w:rsidR="00AD61E3" w:rsidRPr="00823B3E">
        <w:rPr>
          <w:rFonts w:ascii="Times New Roman" w:hAnsi="Times New Roman"/>
          <w:sz w:val="24"/>
          <w:szCs w:val="24"/>
        </w:rPr>
        <w:t xml:space="preserve">левофлоксацина </w:t>
      </w:r>
      <w:r w:rsidRPr="00823B3E">
        <w:rPr>
          <w:rFonts w:ascii="Times New Roman" w:hAnsi="Times New Roman"/>
          <w:sz w:val="24"/>
          <w:szCs w:val="24"/>
        </w:rPr>
        <w:t>2 раза в сутки С</w:t>
      </w:r>
      <w:r w:rsidRPr="00823B3E">
        <w:rPr>
          <w:rFonts w:ascii="Times New Roman" w:hAnsi="Times New Roman"/>
          <w:sz w:val="24"/>
          <w:szCs w:val="24"/>
          <w:vertAlign w:val="subscript"/>
        </w:rPr>
        <w:t xml:space="preserve">mах </w:t>
      </w:r>
      <w:r w:rsidRPr="00823B3E">
        <w:rPr>
          <w:rFonts w:ascii="Times New Roman" w:hAnsi="Times New Roman"/>
          <w:sz w:val="24"/>
          <w:szCs w:val="24"/>
        </w:rPr>
        <w:t>составляла 7,8±</w:t>
      </w:r>
      <w:r w:rsidR="00823B3E">
        <w:rPr>
          <w:rFonts w:ascii="Times New Roman" w:hAnsi="Times New Roman"/>
          <w:sz w:val="24"/>
          <w:szCs w:val="24"/>
        </w:rPr>
        <w:t xml:space="preserve">1,1 мкг/мл, a </w:t>
      </w:r>
      <w:proofErr w:type="spellStart"/>
      <w:r w:rsidRPr="00823B3E">
        <w:rPr>
          <w:rFonts w:ascii="Times New Roman" w:hAnsi="Times New Roman"/>
          <w:sz w:val="24"/>
          <w:szCs w:val="24"/>
        </w:rPr>
        <w:t>C</w:t>
      </w:r>
      <w:r w:rsidRPr="00823B3E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823B3E">
        <w:rPr>
          <w:rFonts w:ascii="Times New Roman" w:hAnsi="Times New Roman"/>
          <w:sz w:val="24"/>
          <w:szCs w:val="24"/>
        </w:rPr>
        <w:t xml:space="preserve"> – </w:t>
      </w:r>
      <w:r w:rsidRPr="00823B3E">
        <w:rPr>
          <w:rFonts w:ascii="Times New Roman" w:hAnsi="Times New Roman"/>
          <w:sz w:val="24"/>
          <w:szCs w:val="24"/>
        </w:rPr>
        <w:t>3,0±0,9 мкг/мл.</w:t>
      </w:r>
    </w:p>
    <w:p w14:paraId="799FF98C" w14:textId="77777777" w:rsidR="00855433" w:rsidRPr="00823B3E" w:rsidRDefault="00855433" w:rsidP="00823B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3B3E">
        <w:rPr>
          <w:rFonts w:ascii="Times New Roman" w:hAnsi="Times New Roman"/>
          <w:i/>
          <w:sz w:val="24"/>
          <w:szCs w:val="24"/>
        </w:rPr>
        <w:t>Распределение</w:t>
      </w:r>
    </w:p>
    <w:p w14:paraId="09355D69" w14:textId="77777777" w:rsidR="00855433" w:rsidRPr="00823B3E" w:rsidRDefault="00855433" w:rsidP="00823B3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B3E">
        <w:rPr>
          <w:rFonts w:ascii="Times New Roman" w:hAnsi="Times New Roman"/>
          <w:sz w:val="24"/>
          <w:szCs w:val="24"/>
        </w:rPr>
        <w:t>Связь с белками сыворотки</w:t>
      </w:r>
      <w:r w:rsidRPr="00B57A2A">
        <w:rPr>
          <w:rFonts w:ascii="Times New Roman" w:hAnsi="Times New Roman"/>
          <w:sz w:val="24"/>
          <w:szCs w:val="24"/>
        </w:rPr>
        <w:t xml:space="preserve"> крови составляет 30-40 %. </w:t>
      </w:r>
      <w:r w:rsidRPr="00823B3E">
        <w:rPr>
          <w:rFonts w:ascii="Times New Roman" w:hAnsi="Times New Roman"/>
          <w:sz w:val="24"/>
          <w:szCs w:val="24"/>
        </w:rPr>
        <w:t>После однократного и повторного приема 500 мг левофлоксацина объем распределения левофлоксацина составляет, в среднем, 100 л, что указывает на хорошее проникновение левофлоксацина в органы и ткани организма человека.</w:t>
      </w:r>
    </w:p>
    <w:p w14:paraId="5F4D27D6" w14:textId="77777777" w:rsidR="00855433" w:rsidRPr="00823B3E" w:rsidRDefault="00855433" w:rsidP="003C15E1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3B3E">
        <w:rPr>
          <w:rFonts w:ascii="Times New Roman" w:hAnsi="Times New Roman"/>
          <w:i/>
          <w:sz w:val="24"/>
          <w:szCs w:val="24"/>
        </w:rPr>
        <w:t>Проникновение в слизистую оболочку бронхов, жидкость эпителиальной выстилки, альвеолярные макрофаги</w:t>
      </w:r>
    </w:p>
    <w:p w14:paraId="2DFE1A67" w14:textId="1FE0DF3F" w:rsidR="00855433" w:rsidRPr="00823B3E" w:rsidRDefault="00855433" w:rsidP="00823B3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B3E">
        <w:rPr>
          <w:rFonts w:ascii="Times New Roman" w:hAnsi="Times New Roman"/>
          <w:sz w:val="24"/>
          <w:szCs w:val="24"/>
        </w:rPr>
        <w:t>После однократного приема внутрь 500 мг левофлоксацина максимальные концентрации левофлоксацина в слизистой оболочке бронхов и жидкости эпителиальной выстилки достигались в течение 1 ч и</w:t>
      </w:r>
      <w:r w:rsidR="004C53AF">
        <w:rPr>
          <w:rFonts w:ascii="Times New Roman" w:hAnsi="Times New Roman"/>
          <w:sz w:val="24"/>
          <w:szCs w:val="24"/>
        </w:rPr>
        <w:t xml:space="preserve">ли 4 ч и составляли 8,3 мкг/г и </w:t>
      </w:r>
      <w:r w:rsidRPr="00823B3E">
        <w:rPr>
          <w:rFonts w:ascii="Times New Roman" w:hAnsi="Times New Roman"/>
          <w:sz w:val="24"/>
          <w:szCs w:val="24"/>
        </w:rPr>
        <w:t>10,8 мкг/мл, соответственно, с коэффициентами пенетрации в слизистую оболочку бронхов и жидкость эпителиальной выстилки, по сравнению с концентрацией в плазме крови, составляющими 1,1-1,8 и 0,8-3,</w:t>
      </w:r>
      <w:r w:rsidR="00B637C3">
        <w:rPr>
          <w:rFonts w:ascii="Times New Roman" w:hAnsi="Times New Roman"/>
          <w:sz w:val="24"/>
          <w:szCs w:val="24"/>
        </w:rPr>
        <w:t>0</w:t>
      </w:r>
      <w:r w:rsidRPr="00823B3E">
        <w:rPr>
          <w:rFonts w:ascii="Times New Roman" w:hAnsi="Times New Roman"/>
          <w:sz w:val="24"/>
          <w:szCs w:val="24"/>
        </w:rPr>
        <w:t xml:space="preserve"> соответственно.</w:t>
      </w:r>
    </w:p>
    <w:p w14:paraId="0847BD35" w14:textId="77777777" w:rsidR="00855433" w:rsidRPr="00823B3E" w:rsidRDefault="00855433" w:rsidP="0082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B3E">
        <w:rPr>
          <w:rFonts w:ascii="Times New Roman" w:hAnsi="Times New Roman"/>
          <w:sz w:val="24"/>
          <w:szCs w:val="24"/>
        </w:rPr>
        <w:t xml:space="preserve">После 5 дней приема внутрь 500 мг левофлоксацина средние концентрации левофлоксацина через 4 ч после последнего приема препарата в жидкости эпителиальной выстилки составляли 9,94 мкг/мл и в альвеолярных макрофагах </w:t>
      </w:r>
      <w:r w:rsidR="00823B3E">
        <w:rPr>
          <w:rFonts w:ascii="Times New Roman" w:hAnsi="Times New Roman"/>
          <w:sz w:val="24"/>
          <w:szCs w:val="24"/>
        </w:rPr>
        <w:t xml:space="preserve">– </w:t>
      </w:r>
      <w:r w:rsidRPr="00823B3E">
        <w:rPr>
          <w:rFonts w:ascii="Times New Roman" w:hAnsi="Times New Roman"/>
          <w:sz w:val="24"/>
          <w:szCs w:val="24"/>
        </w:rPr>
        <w:t>97,9 мкг/мл.</w:t>
      </w:r>
    </w:p>
    <w:p w14:paraId="43326149" w14:textId="77777777" w:rsidR="00855433" w:rsidRPr="00823B3E" w:rsidRDefault="00855433" w:rsidP="00823B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3B3E">
        <w:rPr>
          <w:rFonts w:ascii="Times New Roman" w:hAnsi="Times New Roman"/>
          <w:i/>
          <w:sz w:val="24"/>
          <w:szCs w:val="24"/>
        </w:rPr>
        <w:t>Проникновение в легочную ткань</w:t>
      </w:r>
    </w:p>
    <w:p w14:paraId="7ECB0ED9" w14:textId="77777777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Максимальные концентрации в легочной ткани после приема внутрь 500 мг левофлоксацина составляли приблизительно 11,3 мкг/г и достигались через 4-6 ч после приема препарата с коэффициентами пенетрации 2-5, по сравнению с концентрацией в плазме крови.</w:t>
      </w:r>
    </w:p>
    <w:p w14:paraId="4F059929" w14:textId="77777777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Проникновение в альвеолярную жидкость</w:t>
      </w:r>
    </w:p>
    <w:p w14:paraId="24D19D54" w14:textId="7244974B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После 3-х дней приема 500 мг левофлоксацина 1 или 2 раза в сутки максимальные концентрации левофлоксацина в альвеолярной жидкости достигались через 2-4 ч после приема препарата и составляли</w:t>
      </w:r>
      <w:r w:rsidRPr="00B57A2A">
        <w:rPr>
          <w:rFonts w:ascii="Times New Roman" w:hAnsi="Times New Roman"/>
          <w:b/>
          <w:sz w:val="24"/>
          <w:szCs w:val="24"/>
        </w:rPr>
        <w:t xml:space="preserve"> </w:t>
      </w:r>
      <w:r w:rsidRPr="001E539D">
        <w:rPr>
          <w:rFonts w:ascii="Times New Roman" w:hAnsi="Times New Roman"/>
          <w:sz w:val="24"/>
          <w:szCs w:val="24"/>
        </w:rPr>
        <w:t>4,0 и 6,7 мкг/мл</w:t>
      </w:r>
      <w:r w:rsidR="00860AC2">
        <w:rPr>
          <w:rFonts w:ascii="Times New Roman" w:hAnsi="Times New Roman"/>
          <w:sz w:val="24"/>
          <w:szCs w:val="24"/>
        </w:rPr>
        <w:t xml:space="preserve"> </w:t>
      </w:r>
      <w:r w:rsidRPr="001E539D">
        <w:rPr>
          <w:rFonts w:ascii="Times New Roman" w:hAnsi="Times New Roman"/>
          <w:sz w:val="24"/>
          <w:szCs w:val="24"/>
        </w:rPr>
        <w:t>соответственно, с коэффициентом пенетрации 1, по сравнению с концентрациями в плазме крови.</w:t>
      </w:r>
    </w:p>
    <w:p w14:paraId="188D546B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Проникновение в костную ткань</w:t>
      </w:r>
    </w:p>
    <w:p w14:paraId="00EC497E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Левофлоксацин хорошо проникает в кортикальную и губчатую костную ткань, как в проксимальных, так и в дистальных отделах бедренной кости, с коэффициентом пенетрации (костная ткань/плазма крови) 0,1-3. Максимальные концентрации левофлоксацина в губчатой костной ткани проксимального отдела бедренной кости после приема 500 мг препарата внутрь составляли приблизительно 15,1 мкг/г (через 2 ч после приема препарата).</w:t>
      </w:r>
    </w:p>
    <w:p w14:paraId="03CC183B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Проникновение в спинномозговую жидкость</w:t>
      </w:r>
    </w:p>
    <w:p w14:paraId="47CA3E6A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Левофлоксацин плохо проникает в спинномозговую жидкость.</w:t>
      </w:r>
    </w:p>
    <w:p w14:paraId="34C94993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Проникновение в ткань предстательной железы</w:t>
      </w:r>
    </w:p>
    <w:p w14:paraId="2918578F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После приема внутрь 500 мг левофлоксацина 1 раз в сутки в течение 3-х дней, средняя концентрация левофлоксацина в ткани предстательной железы составляла 8,7 мкг/г, среднее соотношение концентраций предстательная железа/плазма крови составляло 1,84.</w:t>
      </w:r>
    </w:p>
    <w:p w14:paraId="25E3C38C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Концентрации в моче</w:t>
      </w:r>
    </w:p>
    <w:p w14:paraId="2DD186FC" w14:textId="1C9DAA61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Средние концентрации в моче через 8-12 ч после приема внутрь дозы 150, 300 и 600 мг левофлоксацина составляли 44 мкг/мл, 91 мкг/мл и 162 мкг/мл соответственно.</w:t>
      </w:r>
    </w:p>
    <w:p w14:paraId="5A344311" w14:textId="77777777" w:rsidR="00855433" w:rsidRPr="001E539D" w:rsidRDefault="00855433" w:rsidP="001E53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Метаболизм</w:t>
      </w:r>
    </w:p>
    <w:p w14:paraId="21FDD4FE" w14:textId="41971971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 xml:space="preserve">Левофлоксацин метаболизируется в незначительной степени (5 % принятой дозы). Его метаболитами являются </w:t>
      </w:r>
      <w:r w:rsidRPr="00FB2495">
        <w:rPr>
          <w:rFonts w:ascii="Times New Roman" w:hAnsi="Times New Roman"/>
          <w:sz w:val="24"/>
          <w:szCs w:val="24"/>
        </w:rPr>
        <w:t>де</w:t>
      </w:r>
      <w:r w:rsidR="00D27C09">
        <w:rPr>
          <w:rFonts w:ascii="Times New Roman" w:hAnsi="Times New Roman"/>
          <w:sz w:val="24"/>
          <w:szCs w:val="24"/>
          <w:lang w:val="en-US"/>
        </w:rPr>
        <w:t>c</w:t>
      </w:r>
      <w:r w:rsidRPr="00FB2495">
        <w:rPr>
          <w:rFonts w:ascii="Times New Roman" w:hAnsi="Times New Roman"/>
          <w:sz w:val="24"/>
          <w:szCs w:val="24"/>
        </w:rPr>
        <w:t>метиллевофлоксацин</w:t>
      </w:r>
      <w:r w:rsidRPr="001E539D">
        <w:rPr>
          <w:rFonts w:ascii="Times New Roman" w:hAnsi="Times New Roman"/>
          <w:sz w:val="24"/>
          <w:szCs w:val="24"/>
        </w:rPr>
        <w:t xml:space="preserve"> и N-оксид левофлоксацин, которые выводятся почками. Левофлоксацин является стереохимически стабильным и не подвергается хиральным превращениям.</w:t>
      </w:r>
    </w:p>
    <w:p w14:paraId="21E0EABE" w14:textId="77777777" w:rsidR="001E539D" w:rsidRDefault="001E53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4C9A4607" w14:textId="77777777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Выведение</w:t>
      </w:r>
    </w:p>
    <w:p w14:paraId="557D4D90" w14:textId="77777777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После приема внутрь левофлоксацин относительно медленно выводится из плазмы крови (период полувыведения (Т</w:t>
      </w:r>
      <w:r w:rsidRPr="001E539D">
        <w:rPr>
          <w:rFonts w:ascii="Times New Roman" w:hAnsi="Times New Roman"/>
          <w:sz w:val="24"/>
          <w:szCs w:val="24"/>
          <w:vertAlign w:val="subscript"/>
        </w:rPr>
        <w:t>1/2</w:t>
      </w:r>
      <w:r w:rsidRPr="001E539D">
        <w:rPr>
          <w:rFonts w:ascii="Times New Roman" w:hAnsi="Times New Roman"/>
          <w:sz w:val="24"/>
          <w:szCs w:val="24"/>
        </w:rPr>
        <w:t xml:space="preserve">) – 6-8 ч). Выведение, преимущественно, через почки (более </w:t>
      </w:r>
      <w:r w:rsidR="00520DD5">
        <w:t xml:space="preserve">  </w:t>
      </w:r>
      <w:r w:rsidRPr="001E539D">
        <w:rPr>
          <w:rFonts w:ascii="Times New Roman" w:hAnsi="Times New Roman"/>
          <w:sz w:val="24"/>
          <w:szCs w:val="24"/>
        </w:rPr>
        <w:t>85 % принятой дозы). Общий клиренс левофлоксацина после однократного приема 500 мг составлял 175±29,2 мл/мин.</w:t>
      </w:r>
    </w:p>
    <w:p w14:paraId="4315710B" w14:textId="77777777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39D">
        <w:rPr>
          <w:rFonts w:ascii="Times New Roman" w:hAnsi="Times New Roman"/>
          <w:sz w:val="24"/>
          <w:szCs w:val="24"/>
        </w:rPr>
        <w:t>Отсутствуют существенные различия в фармакокинетике левофлоксацина при его внутривенном введении и приеме внутрь, что подтверждает, что прием внутрь и внутривенное введение являются взаимозаменяемыми.</w:t>
      </w:r>
    </w:p>
    <w:p w14:paraId="289E83C5" w14:textId="77777777" w:rsidR="00855433" w:rsidRPr="001E539D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39D">
        <w:rPr>
          <w:rFonts w:ascii="Times New Roman" w:hAnsi="Times New Roman"/>
          <w:i/>
          <w:sz w:val="24"/>
          <w:szCs w:val="24"/>
        </w:rPr>
        <w:t>Фармакокинетика у отдельных групп пациентов</w:t>
      </w:r>
    </w:p>
    <w:p w14:paraId="6431EF10" w14:textId="77777777" w:rsidR="00855433" w:rsidRPr="00B57A2A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Фармакокинетика левофлоксацина у мужчин и женщин не различается.</w:t>
      </w:r>
    </w:p>
    <w:p w14:paraId="6AAD1220" w14:textId="77777777" w:rsidR="00855433" w:rsidRPr="00B57A2A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Фармакокинетика у пациентов пожилого возраста не отличается от таковой у молодых пациентов, за исключением различий фармакокинетики, связанных с различиями в клиренсе креатинина (КК).</w:t>
      </w:r>
    </w:p>
    <w:p w14:paraId="0C9D4340" w14:textId="77777777" w:rsidR="00855433" w:rsidRPr="00B57A2A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При почечной недостаточности фармакокинетика левофлоксацина изменяется. По мере ухудшения функции почек выведение через почки и почечный клиренс (C1R) уменьшаются, а Т</w:t>
      </w:r>
      <w:r w:rsidRPr="00B57A2A">
        <w:rPr>
          <w:rFonts w:ascii="Times New Roman" w:hAnsi="Times New Roman"/>
          <w:sz w:val="24"/>
          <w:szCs w:val="24"/>
          <w:vertAlign w:val="subscript"/>
        </w:rPr>
        <w:t>1/2</w:t>
      </w:r>
      <w:r w:rsidRPr="00B57A2A">
        <w:rPr>
          <w:rFonts w:ascii="Times New Roman" w:hAnsi="Times New Roman"/>
          <w:sz w:val="24"/>
          <w:szCs w:val="24"/>
        </w:rPr>
        <w:t xml:space="preserve"> увеличивается.</w:t>
      </w:r>
    </w:p>
    <w:p w14:paraId="082997C4" w14:textId="14A1CD0D" w:rsidR="00855433" w:rsidRDefault="00855433" w:rsidP="001E53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Фармакокинетика при почечной недостаточности после однократного приема</w:t>
      </w:r>
      <w:r w:rsidR="00203C59">
        <w:rPr>
          <w:rFonts w:ascii="Times New Roman" w:hAnsi="Times New Roman"/>
          <w:sz w:val="24"/>
          <w:szCs w:val="24"/>
        </w:rPr>
        <w:br/>
      </w:r>
      <w:r w:rsidRPr="00B57A2A">
        <w:rPr>
          <w:rFonts w:ascii="Times New Roman" w:hAnsi="Times New Roman"/>
          <w:sz w:val="24"/>
          <w:szCs w:val="24"/>
        </w:rPr>
        <w:t>внутрь 500</w:t>
      </w:r>
      <w:r w:rsidR="00D63D35">
        <w:rPr>
          <w:rFonts w:ascii="Times New Roman" w:hAnsi="Times New Roman"/>
          <w:sz w:val="24"/>
          <w:szCs w:val="24"/>
        </w:rPr>
        <w:t> </w:t>
      </w:r>
      <w:r w:rsidRPr="00B57A2A">
        <w:rPr>
          <w:rFonts w:ascii="Times New Roman" w:hAnsi="Times New Roman"/>
          <w:sz w:val="24"/>
          <w:szCs w:val="24"/>
        </w:rPr>
        <w:t>мг левофлоксацина.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63D35" w14:paraId="07F96385" w14:textId="77777777" w:rsidTr="00D63D35">
        <w:tc>
          <w:tcPr>
            <w:tcW w:w="2336" w:type="dxa"/>
          </w:tcPr>
          <w:p w14:paraId="3EAFDF71" w14:textId="77777777" w:rsidR="00D63D35" w:rsidRPr="00D63D35" w:rsidRDefault="00D63D35" w:rsidP="00D63D3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3D35">
              <w:rPr>
                <w:b/>
                <w:sz w:val="24"/>
                <w:szCs w:val="24"/>
              </w:rPr>
              <w:t>КК (мл/мин)</w:t>
            </w:r>
          </w:p>
        </w:tc>
        <w:tc>
          <w:tcPr>
            <w:tcW w:w="2336" w:type="dxa"/>
          </w:tcPr>
          <w:p w14:paraId="7C1BD674" w14:textId="77777777" w:rsidR="00D63D35" w:rsidRPr="00D63D35" w:rsidRDefault="00D63D35" w:rsidP="00D63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D35">
              <w:rPr>
                <w:b/>
                <w:sz w:val="24"/>
                <w:szCs w:val="24"/>
              </w:rPr>
              <w:t>&lt;20</w:t>
            </w:r>
          </w:p>
        </w:tc>
        <w:tc>
          <w:tcPr>
            <w:tcW w:w="2336" w:type="dxa"/>
          </w:tcPr>
          <w:p w14:paraId="52FF0944" w14:textId="77777777" w:rsidR="00D63D35" w:rsidRPr="00D63D35" w:rsidRDefault="00D63D35" w:rsidP="00D63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D35">
              <w:rPr>
                <w:b/>
                <w:sz w:val="24"/>
                <w:szCs w:val="24"/>
              </w:rPr>
              <w:t>20-49</w:t>
            </w:r>
          </w:p>
        </w:tc>
        <w:tc>
          <w:tcPr>
            <w:tcW w:w="2337" w:type="dxa"/>
          </w:tcPr>
          <w:p w14:paraId="1D13498D" w14:textId="77777777" w:rsidR="00D63D35" w:rsidRPr="00D63D35" w:rsidRDefault="00D63D35" w:rsidP="00D63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3D35">
              <w:rPr>
                <w:b/>
                <w:sz w:val="24"/>
                <w:szCs w:val="24"/>
              </w:rPr>
              <w:t>50-80</w:t>
            </w:r>
          </w:p>
        </w:tc>
      </w:tr>
      <w:tr w:rsidR="00D63D35" w14:paraId="5411B076" w14:textId="77777777" w:rsidTr="00D63D35">
        <w:tc>
          <w:tcPr>
            <w:tcW w:w="2336" w:type="dxa"/>
          </w:tcPr>
          <w:p w14:paraId="056B88C3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C1R (мл/мин)</w:t>
            </w:r>
          </w:p>
        </w:tc>
        <w:tc>
          <w:tcPr>
            <w:tcW w:w="2336" w:type="dxa"/>
          </w:tcPr>
          <w:p w14:paraId="096A5119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4EB5DEA8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14:paraId="322BC42D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57</w:t>
            </w:r>
          </w:p>
        </w:tc>
      </w:tr>
      <w:tr w:rsidR="00D63D35" w14:paraId="189C8A10" w14:textId="77777777" w:rsidTr="00D63D35">
        <w:tc>
          <w:tcPr>
            <w:tcW w:w="2336" w:type="dxa"/>
          </w:tcPr>
          <w:p w14:paraId="45AB8EF6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Т</w:t>
            </w:r>
            <w:r w:rsidRPr="00D63D35">
              <w:rPr>
                <w:sz w:val="24"/>
                <w:szCs w:val="24"/>
                <w:vertAlign w:val="subscript"/>
              </w:rPr>
              <w:t xml:space="preserve">1/2 </w:t>
            </w:r>
            <w:r w:rsidRPr="00B57A2A">
              <w:rPr>
                <w:sz w:val="24"/>
                <w:szCs w:val="24"/>
              </w:rPr>
              <w:t>(ч)</w:t>
            </w:r>
          </w:p>
        </w:tc>
        <w:tc>
          <w:tcPr>
            <w:tcW w:w="2336" w:type="dxa"/>
          </w:tcPr>
          <w:p w14:paraId="61984304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35</w:t>
            </w:r>
          </w:p>
        </w:tc>
        <w:tc>
          <w:tcPr>
            <w:tcW w:w="2336" w:type="dxa"/>
          </w:tcPr>
          <w:p w14:paraId="294FCD84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14:paraId="758C0B5B" w14:textId="77777777" w:rsidR="00D63D35" w:rsidRDefault="00D63D35" w:rsidP="00D63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9</w:t>
            </w:r>
          </w:p>
        </w:tc>
      </w:tr>
    </w:tbl>
    <w:p w14:paraId="48693FC9" w14:textId="72892435" w:rsidR="00855433" w:rsidRPr="00B57A2A" w:rsidRDefault="00855433" w:rsidP="00D63D35">
      <w:pPr>
        <w:widowControl w:val="0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>Показания для применения</w:t>
      </w:r>
    </w:p>
    <w:p w14:paraId="08C0CFCC" w14:textId="77777777" w:rsidR="00855433" w:rsidRPr="00D63D35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D35">
        <w:rPr>
          <w:rFonts w:ascii="Times New Roman" w:hAnsi="Times New Roman"/>
          <w:sz w:val="24"/>
          <w:szCs w:val="24"/>
        </w:rPr>
        <w:t>Бактериальные инфекции, чувствительные к левофлоксацину, у взрослых:</w:t>
      </w:r>
    </w:p>
    <w:p w14:paraId="67F08D6A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острый синусит;</w:t>
      </w:r>
    </w:p>
    <w:p w14:paraId="126E0037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 xml:space="preserve">- обострение хронического бронхита; </w:t>
      </w:r>
    </w:p>
    <w:p w14:paraId="210AF641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внебольничная пневмония;</w:t>
      </w:r>
    </w:p>
    <w:p w14:paraId="3C95DEE6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неосложнённые инфекции мочевыводящих путей;</w:t>
      </w:r>
    </w:p>
    <w:p w14:paraId="5C94FBBD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осложнённые инфекции мочевыводящих путей (включая пиелонефрит);</w:t>
      </w:r>
    </w:p>
    <w:p w14:paraId="5A8A67DC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хронический бактериальный простатит;</w:t>
      </w:r>
    </w:p>
    <w:p w14:paraId="0ABF59D6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инфекции кожных покровов и мягких тканей;</w:t>
      </w:r>
    </w:p>
    <w:p w14:paraId="69E62455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для комплексного лечения лекарственно-устойчивых форм туберкулеза;</w:t>
      </w:r>
    </w:p>
    <w:p w14:paraId="3D0CB68F" w14:textId="77777777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профилактика и лечение сибирской язвы при воздушно-капельном пути заражения.</w:t>
      </w:r>
    </w:p>
    <w:p w14:paraId="2BC45215" w14:textId="5DB7723F" w:rsidR="00855433" w:rsidRPr="00B57A2A" w:rsidRDefault="00855433" w:rsidP="00D6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При применении препарата Леволет</w:t>
      </w:r>
      <w:r w:rsidRPr="00B57A2A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B57A2A">
        <w:rPr>
          <w:rFonts w:ascii="Times New Roman" w:hAnsi="Times New Roman"/>
          <w:sz w:val="24"/>
          <w:szCs w:val="24"/>
        </w:rPr>
        <w:t>Р следует учитывать официальные национальные рекомендации по надлежащему применению антибактериальных препаратов, а также чувствительность патогенных микроорганизмов в</w:t>
      </w:r>
      <w:r w:rsidR="00754F69">
        <w:rPr>
          <w:rFonts w:ascii="Times New Roman" w:hAnsi="Times New Roman"/>
          <w:sz w:val="24"/>
          <w:szCs w:val="24"/>
        </w:rPr>
        <w:t xml:space="preserve"> конкретной стране (см. раздел «</w:t>
      </w:r>
      <w:r w:rsidRPr="00B57A2A">
        <w:rPr>
          <w:rFonts w:ascii="Times New Roman" w:hAnsi="Times New Roman"/>
          <w:sz w:val="24"/>
          <w:szCs w:val="24"/>
        </w:rPr>
        <w:t>Особые указания</w:t>
      </w:r>
      <w:r w:rsidR="00754F69">
        <w:rPr>
          <w:rFonts w:ascii="Times New Roman" w:hAnsi="Times New Roman"/>
          <w:sz w:val="24"/>
          <w:szCs w:val="24"/>
        </w:rPr>
        <w:t>»</w:t>
      </w:r>
      <w:r w:rsidRPr="00B57A2A">
        <w:rPr>
          <w:rFonts w:ascii="Times New Roman" w:hAnsi="Times New Roman"/>
          <w:sz w:val="24"/>
          <w:szCs w:val="24"/>
        </w:rPr>
        <w:t>).</w:t>
      </w:r>
    </w:p>
    <w:p w14:paraId="258DCA12" w14:textId="77777777" w:rsidR="00B57A2A" w:rsidRPr="00B57A2A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 xml:space="preserve">Противопоказания </w:t>
      </w:r>
    </w:p>
    <w:p w14:paraId="4B8DD13B" w14:textId="61A6C37C" w:rsidR="00B57A2A" w:rsidRPr="00B57A2A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Гиперчувствительность к левофлоксацину или к другим хинолонам, а также к любому из вспомогательных веществ препарата Леволет</w:t>
      </w:r>
      <w:r w:rsidRPr="00B57A2A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B57A2A">
        <w:rPr>
          <w:rFonts w:ascii="Times New Roman" w:hAnsi="Times New Roman"/>
          <w:sz w:val="24"/>
          <w:szCs w:val="24"/>
        </w:rPr>
        <w:t xml:space="preserve">Р. </w:t>
      </w:r>
    </w:p>
    <w:p w14:paraId="1AA0A338" w14:textId="77777777" w:rsidR="00B57A2A" w:rsidRPr="00B57A2A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- Эпилепсия.</w:t>
      </w:r>
    </w:p>
    <w:p w14:paraId="1FA26C91" w14:textId="77777777" w:rsidR="00B57A2A" w:rsidRPr="00B57A2A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 xml:space="preserve">- Псевдопаралитическая миастения (myasthenia gravis) (см. разделы </w:t>
      </w:r>
      <w:r w:rsidR="001B4125">
        <w:rPr>
          <w:rFonts w:ascii="Times New Roman" w:hAnsi="Times New Roman"/>
          <w:sz w:val="24"/>
          <w:szCs w:val="24"/>
        </w:rPr>
        <w:t>«</w:t>
      </w:r>
      <w:r w:rsidRPr="00B57A2A">
        <w:rPr>
          <w:rFonts w:ascii="Times New Roman" w:hAnsi="Times New Roman"/>
          <w:sz w:val="24"/>
          <w:szCs w:val="24"/>
        </w:rPr>
        <w:t>Побочное действие</w:t>
      </w:r>
      <w:r w:rsidR="001B4125">
        <w:rPr>
          <w:rFonts w:ascii="Times New Roman" w:hAnsi="Times New Roman"/>
          <w:sz w:val="24"/>
          <w:szCs w:val="24"/>
        </w:rPr>
        <w:t>», «</w:t>
      </w:r>
      <w:r w:rsidRPr="00B57A2A">
        <w:rPr>
          <w:rFonts w:ascii="Times New Roman" w:hAnsi="Times New Roman"/>
          <w:sz w:val="24"/>
          <w:szCs w:val="24"/>
        </w:rPr>
        <w:t>Особые указания</w:t>
      </w:r>
      <w:r w:rsidR="001B4125">
        <w:rPr>
          <w:rFonts w:ascii="Times New Roman" w:hAnsi="Times New Roman"/>
          <w:sz w:val="24"/>
          <w:szCs w:val="24"/>
        </w:rPr>
        <w:t>»</w:t>
      </w:r>
      <w:r w:rsidRPr="00B57A2A">
        <w:rPr>
          <w:rFonts w:ascii="Times New Roman" w:hAnsi="Times New Roman"/>
          <w:sz w:val="24"/>
          <w:szCs w:val="24"/>
        </w:rPr>
        <w:t>).</w:t>
      </w:r>
    </w:p>
    <w:p w14:paraId="352BCC9F" w14:textId="77777777" w:rsidR="00B57A2A" w:rsidRPr="00B2043E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43E">
        <w:rPr>
          <w:rFonts w:ascii="Times New Roman" w:hAnsi="Times New Roman"/>
          <w:sz w:val="24"/>
          <w:szCs w:val="24"/>
        </w:rPr>
        <w:t>- Поражения сухожилий при приеме фторхинолонов в анамнезе.</w:t>
      </w:r>
    </w:p>
    <w:p w14:paraId="42D9B175" w14:textId="7E75D703" w:rsidR="007D56AC" w:rsidRPr="00B2043E" w:rsidRDefault="007D56AC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43E">
        <w:rPr>
          <w:rFonts w:ascii="Times New Roman" w:hAnsi="Times New Roman"/>
          <w:sz w:val="24"/>
          <w:szCs w:val="24"/>
        </w:rPr>
        <w:t>- Клиренс креатинина 50 мл/мин и меньше у пациентов с неосложненными инфекциями мочевыводящих путей (невозможность подбора дозы для данной формы выпуска).</w:t>
      </w:r>
    </w:p>
    <w:p w14:paraId="3096017B" w14:textId="71C3E67C" w:rsidR="007D56AC" w:rsidRPr="007D56AC" w:rsidRDefault="007D56AC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43E">
        <w:rPr>
          <w:rFonts w:ascii="Times New Roman" w:hAnsi="Times New Roman"/>
          <w:sz w:val="24"/>
          <w:szCs w:val="24"/>
        </w:rPr>
        <w:t xml:space="preserve">- Клиренс креатинина 19 мл/мин </w:t>
      </w:r>
      <w:r w:rsidR="00B33C78" w:rsidRPr="00B2043E">
        <w:rPr>
          <w:rFonts w:ascii="Times New Roman" w:hAnsi="Times New Roman"/>
          <w:sz w:val="24"/>
          <w:szCs w:val="24"/>
        </w:rPr>
        <w:t xml:space="preserve">и меньше </w:t>
      </w:r>
      <w:r w:rsidRPr="00B2043E">
        <w:rPr>
          <w:rFonts w:ascii="Times New Roman" w:hAnsi="Times New Roman"/>
          <w:sz w:val="24"/>
          <w:szCs w:val="24"/>
        </w:rPr>
        <w:t>(невозможность подбора дозы для данной формы выпуска).</w:t>
      </w:r>
    </w:p>
    <w:p w14:paraId="6C55B059" w14:textId="77777777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 xml:space="preserve">- Детский и подростковый возраст до 18 </w:t>
      </w:r>
      <w:r w:rsidRPr="001B4125">
        <w:rPr>
          <w:rFonts w:ascii="Times New Roman" w:hAnsi="Times New Roman"/>
          <w:sz w:val="24"/>
          <w:szCs w:val="24"/>
        </w:rPr>
        <w:t>лет (в связи с незавершенностью роста скелета, так как нельзя полностью исключить риск поражения хрящевых точек роста).</w:t>
      </w:r>
    </w:p>
    <w:p w14:paraId="2E5B3634" w14:textId="77777777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25">
        <w:rPr>
          <w:rFonts w:ascii="Times New Roman" w:hAnsi="Times New Roman"/>
          <w:sz w:val="24"/>
          <w:szCs w:val="24"/>
        </w:rPr>
        <w:t>- Беременность (нельзя полностью исключить риск поражения хрящевых точек роста у плода).</w:t>
      </w:r>
    </w:p>
    <w:p w14:paraId="7C3B23B5" w14:textId="77777777" w:rsidR="006B6ECB" w:rsidRDefault="00B57A2A" w:rsidP="001B4125">
      <w:pPr>
        <w:pStyle w:val="Style22"/>
        <w:spacing w:line="360" w:lineRule="auto"/>
        <w:jc w:val="both"/>
      </w:pPr>
      <w:r w:rsidRPr="001B4125">
        <w:t>- Период грудного вскармливания (нельзя полностью исключить риск поражения хрящевых точек роста костей у ребенка).</w:t>
      </w:r>
    </w:p>
    <w:p w14:paraId="03D5C726" w14:textId="77777777" w:rsidR="00B57A2A" w:rsidRPr="00B57A2A" w:rsidRDefault="00B57A2A" w:rsidP="001B41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>С осторожностью</w:t>
      </w:r>
    </w:p>
    <w:p w14:paraId="3B45C1F7" w14:textId="182A440C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25">
        <w:rPr>
          <w:rFonts w:ascii="Times New Roman" w:hAnsi="Times New Roman"/>
          <w:sz w:val="24"/>
          <w:szCs w:val="24"/>
        </w:rPr>
        <w:t>- У пациентов, предрасположенных к развитию судорог [у пациентов с предшествующими поражениями центральной нервной системы (ЦНС), у пациентов, одновременно получающих препараты, снижающие порог судорожной готовности головного мозга, такие как фенбуфен, теофиллин] (см. раздел «Взаимодействие с другими лекарственными средствами»)</w:t>
      </w:r>
      <w:r w:rsidR="007249D4">
        <w:rPr>
          <w:rFonts w:ascii="Times New Roman" w:hAnsi="Times New Roman"/>
          <w:sz w:val="24"/>
          <w:szCs w:val="24"/>
        </w:rPr>
        <w:t>.</w:t>
      </w:r>
    </w:p>
    <w:p w14:paraId="7E2EED4E" w14:textId="77777777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25">
        <w:rPr>
          <w:rFonts w:ascii="Times New Roman" w:hAnsi="Times New Roman"/>
          <w:sz w:val="24"/>
          <w:szCs w:val="24"/>
        </w:rPr>
        <w:t>- У пациентов с латентным или манифестированным дефицитом глюкозо-6-фосфатдегидрогеназы (повышенный риск гемолитических реакций при лечении хинолонами).</w:t>
      </w:r>
    </w:p>
    <w:p w14:paraId="6952BB99" w14:textId="77777777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25">
        <w:rPr>
          <w:rFonts w:ascii="Times New Roman" w:hAnsi="Times New Roman"/>
          <w:sz w:val="24"/>
          <w:szCs w:val="24"/>
        </w:rPr>
        <w:t>- У пациентов с нарушением функции почек (требуется обязательный контроль функции почек, а также коррекция режима дозирования, см. раздел «Способ применения и дозы»).</w:t>
      </w:r>
    </w:p>
    <w:p w14:paraId="25F3DCF0" w14:textId="3329B33E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25">
        <w:rPr>
          <w:rFonts w:ascii="Times New Roman" w:hAnsi="Times New Roman"/>
          <w:sz w:val="24"/>
          <w:szCs w:val="24"/>
        </w:rPr>
        <w:t>- У пациентов с известными факторами риска удлинения интервала QT: у пациентов пожилого возр</w:t>
      </w:r>
      <w:r w:rsidR="00D06D26">
        <w:rPr>
          <w:rFonts w:ascii="Times New Roman" w:hAnsi="Times New Roman"/>
          <w:sz w:val="24"/>
          <w:szCs w:val="24"/>
        </w:rPr>
        <w:t>аста; у пациентов женского пола;</w:t>
      </w:r>
      <w:r w:rsidRPr="001B4125">
        <w:rPr>
          <w:rFonts w:ascii="Times New Roman" w:hAnsi="Times New Roman"/>
          <w:sz w:val="24"/>
          <w:szCs w:val="24"/>
        </w:rPr>
        <w:t xml:space="preserve"> у пациентов с нескорректированными электролитными нарушениями (с гипокалиемией, гипомагниемией); с синдромом врождённого удлинения интервала QT;</w:t>
      </w:r>
      <w:r w:rsidR="001B4125">
        <w:rPr>
          <w:rFonts w:ascii="Times New Roman" w:hAnsi="Times New Roman"/>
          <w:sz w:val="24"/>
          <w:szCs w:val="24"/>
        </w:rPr>
        <w:t xml:space="preserve"> </w:t>
      </w:r>
      <w:r w:rsidRPr="001B4125">
        <w:rPr>
          <w:rFonts w:ascii="Times New Roman" w:hAnsi="Times New Roman"/>
          <w:sz w:val="24"/>
          <w:szCs w:val="24"/>
        </w:rPr>
        <w:t>с заболеваниями сердца (сердечная недостаточность, инфаркт миокарда, брадикардия); при одновременном приеме лекарственных препаратов, способных удлинять интервал QT (антиаритмические средства класса IA и III, трициклические антидепрессанты, макролиды, нейролептики) (см. разделы «Передозировка», «Взаимодействие с другими лекарственными средствами», «Особые указания»)</w:t>
      </w:r>
      <w:r w:rsidR="007249D4">
        <w:rPr>
          <w:rFonts w:ascii="Times New Roman" w:hAnsi="Times New Roman"/>
          <w:sz w:val="24"/>
          <w:szCs w:val="24"/>
        </w:rPr>
        <w:t>.</w:t>
      </w:r>
    </w:p>
    <w:p w14:paraId="176F9C6F" w14:textId="77777777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25">
        <w:rPr>
          <w:rFonts w:ascii="Times New Roman" w:hAnsi="Times New Roman"/>
          <w:sz w:val="24"/>
          <w:szCs w:val="24"/>
        </w:rPr>
        <w:t>- У пациентов с сахарным диабетом, получающих пероральные гипогликемические препараты, например,</w:t>
      </w:r>
      <w:r w:rsidR="001B4125">
        <w:rPr>
          <w:rFonts w:ascii="Times New Roman" w:hAnsi="Times New Roman"/>
          <w:sz w:val="24"/>
          <w:szCs w:val="24"/>
        </w:rPr>
        <w:t xml:space="preserve"> глибенкламид </w:t>
      </w:r>
      <w:r w:rsidRPr="001B4125">
        <w:rPr>
          <w:rFonts w:ascii="Times New Roman" w:hAnsi="Times New Roman"/>
          <w:sz w:val="24"/>
          <w:szCs w:val="24"/>
        </w:rPr>
        <w:t>или препараты инсулина (возрастает риск развития гипогликемии).</w:t>
      </w:r>
    </w:p>
    <w:p w14:paraId="2FD11F79" w14:textId="77777777" w:rsidR="00B57A2A" w:rsidRPr="001B4125" w:rsidRDefault="00B57A2A" w:rsidP="001B412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25">
        <w:rPr>
          <w:rFonts w:ascii="Times New Roman" w:hAnsi="Times New Roman"/>
          <w:sz w:val="24"/>
          <w:szCs w:val="24"/>
        </w:rPr>
        <w:t>- У пациентов с тяжелыми нежелательными реакциями на другие фторхинолоны, такими как тяжелые неврологические реакции (повышенный риск возникновения аналогичных нежелательных реакций при применении левофлоксацина).</w:t>
      </w:r>
    </w:p>
    <w:p w14:paraId="04B133EF" w14:textId="7810C859" w:rsidR="00B57A2A" w:rsidRPr="001B4125" w:rsidRDefault="007249D4" w:rsidP="001B4125">
      <w:pPr>
        <w:widowControl w:val="0"/>
        <w:spacing w:after="0" w:line="360" w:lineRule="auto"/>
        <w:jc w:val="both"/>
        <w:rPr>
          <w:rStyle w:val="FontStyle187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1B4125">
        <w:rPr>
          <w:rFonts w:ascii="Times New Roman" w:hAnsi="Times New Roman"/>
          <w:sz w:val="24"/>
          <w:szCs w:val="24"/>
        </w:rPr>
        <w:t>У пациентов с психозами или у пациентов, имеющих в анамнезе психические заболевания (см. раздел «Особые указания»).</w:t>
      </w:r>
    </w:p>
    <w:p w14:paraId="1D221C89" w14:textId="77777777" w:rsidR="00B57A2A" w:rsidRPr="00B57A2A" w:rsidRDefault="00B57A2A" w:rsidP="005F489F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>Беременность и период грудного вскармливания</w:t>
      </w:r>
    </w:p>
    <w:p w14:paraId="40AD7CE6" w14:textId="77777777" w:rsidR="00B57A2A" w:rsidRPr="00B57A2A" w:rsidRDefault="00B57A2A" w:rsidP="005F489F">
      <w:pPr>
        <w:widowControl w:val="0"/>
        <w:spacing w:after="0" w:line="360" w:lineRule="auto"/>
        <w:jc w:val="both"/>
        <w:rPr>
          <w:rStyle w:val="FontStyle187"/>
          <w:b w:val="0"/>
          <w:bCs w:val="0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Левофлоксацин противопоказан к применению у беременных и кормящих грудью женщин.</w:t>
      </w:r>
    </w:p>
    <w:p w14:paraId="5A9D682F" w14:textId="77777777" w:rsidR="00B57A2A" w:rsidRPr="00B57A2A" w:rsidRDefault="00B57A2A" w:rsidP="005F489F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>Способ применения и дозы</w:t>
      </w:r>
    </w:p>
    <w:p w14:paraId="63B2AABD" w14:textId="77777777" w:rsidR="00B57A2A" w:rsidRPr="00B57A2A" w:rsidRDefault="00B57A2A" w:rsidP="005F489F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7A2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Способ применения</w:t>
      </w:r>
    </w:p>
    <w:p w14:paraId="584D026E" w14:textId="61FAD8CC" w:rsidR="00B57A2A" w:rsidRPr="005F489F" w:rsidRDefault="00B57A2A" w:rsidP="005F489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89F">
        <w:rPr>
          <w:rFonts w:ascii="Times New Roman" w:hAnsi="Times New Roman"/>
          <w:sz w:val="24"/>
          <w:szCs w:val="24"/>
        </w:rPr>
        <w:t>Таблетки Леволет</w:t>
      </w:r>
      <w:r w:rsidRPr="005F489F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5F489F">
        <w:rPr>
          <w:rFonts w:ascii="Times New Roman" w:hAnsi="Times New Roman"/>
          <w:sz w:val="24"/>
          <w:szCs w:val="24"/>
        </w:rPr>
        <w:t>Р 250 мг или 500 мг принимают внутрь один или два раза в сутки. Таблетки следует проглатывать, не разжевывая и запивая достаточным количеством жидкости (от 0,5 до 1</w:t>
      </w:r>
      <w:r w:rsidR="005F489F" w:rsidRPr="005F489F">
        <w:rPr>
          <w:rFonts w:ascii="Times New Roman" w:hAnsi="Times New Roman"/>
          <w:sz w:val="24"/>
          <w:szCs w:val="24"/>
        </w:rPr>
        <w:t xml:space="preserve"> </w:t>
      </w:r>
      <w:r w:rsidRPr="005F489F">
        <w:rPr>
          <w:rFonts w:ascii="Times New Roman" w:hAnsi="Times New Roman"/>
          <w:sz w:val="24"/>
          <w:szCs w:val="24"/>
        </w:rPr>
        <w:t xml:space="preserve">стакана). </w:t>
      </w:r>
    </w:p>
    <w:p w14:paraId="1D6313C6" w14:textId="77777777" w:rsidR="00B57A2A" w:rsidRPr="005F489F" w:rsidRDefault="00B57A2A" w:rsidP="005F489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89F">
        <w:rPr>
          <w:rFonts w:ascii="Times New Roman" w:hAnsi="Times New Roman"/>
          <w:sz w:val="24"/>
          <w:szCs w:val="24"/>
        </w:rPr>
        <w:t>Препарат можно принимать перед едой или в любое время между приемами пищи, так как прием пищи не влияет на абсорбцию препарата (см. раздел «Фармакокинетика»).</w:t>
      </w:r>
    </w:p>
    <w:p w14:paraId="7CFA5649" w14:textId="77777777" w:rsidR="00B57A2A" w:rsidRPr="005F489F" w:rsidRDefault="00B57A2A" w:rsidP="005F489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89F">
        <w:rPr>
          <w:rFonts w:ascii="Times New Roman" w:hAnsi="Times New Roman"/>
          <w:sz w:val="24"/>
          <w:szCs w:val="24"/>
        </w:rPr>
        <w:t>Препарат следует принимать не менее чем через 2 ч до или через 2 ч после приема препаратов, содержащих магний и/или алюминий, железо, цинк, или сукральфата (см.</w:t>
      </w:r>
      <w:r w:rsidR="005F489F">
        <w:rPr>
          <w:rFonts w:ascii="Times New Roman" w:hAnsi="Times New Roman"/>
          <w:sz w:val="24"/>
          <w:szCs w:val="24"/>
        </w:rPr>
        <w:t> </w:t>
      </w:r>
      <w:r w:rsidRPr="005F489F">
        <w:rPr>
          <w:rFonts w:ascii="Times New Roman" w:hAnsi="Times New Roman"/>
          <w:sz w:val="24"/>
          <w:szCs w:val="24"/>
        </w:rPr>
        <w:t>раздел «Взаимодействие с другими лекарственными средствами»).</w:t>
      </w:r>
    </w:p>
    <w:p w14:paraId="2ACD3A0A" w14:textId="538160AA" w:rsidR="00B57A2A" w:rsidRPr="005F489F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89F">
        <w:rPr>
          <w:rFonts w:ascii="Times New Roman" w:hAnsi="Times New Roman"/>
          <w:sz w:val="24"/>
          <w:szCs w:val="24"/>
        </w:rPr>
        <w:t>Учитывая то, что биодоступность левофлоксацина в таблетках равна 99-100%, в случае перевода пациента с внутривенной инфузии препарата Леволет</w:t>
      </w:r>
      <w:r w:rsidRPr="005F489F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5F489F">
        <w:rPr>
          <w:rFonts w:ascii="Times New Roman" w:hAnsi="Times New Roman"/>
          <w:sz w:val="24"/>
          <w:szCs w:val="24"/>
        </w:rPr>
        <w:t>Р на прием таблеток сл</w:t>
      </w:r>
      <w:r w:rsidR="0061770E">
        <w:rPr>
          <w:rFonts w:ascii="Times New Roman" w:hAnsi="Times New Roman"/>
          <w:sz w:val="24"/>
          <w:szCs w:val="24"/>
        </w:rPr>
        <w:t xml:space="preserve">едует продолжать лечение в той </w:t>
      </w:r>
      <w:r w:rsidR="0061770E" w:rsidRPr="0061770E">
        <w:rPr>
          <w:rFonts w:ascii="Times New Roman" w:hAnsi="Times New Roman"/>
          <w:sz w:val="24"/>
          <w:szCs w:val="24"/>
        </w:rPr>
        <w:t>ж</w:t>
      </w:r>
      <w:r w:rsidRPr="005F489F">
        <w:rPr>
          <w:rFonts w:ascii="Times New Roman" w:hAnsi="Times New Roman"/>
          <w:sz w:val="24"/>
          <w:szCs w:val="24"/>
        </w:rPr>
        <w:t>е дозе, которая применялась при внутривенной инфузии (см. раздел «Фармакокинетика»).</w:t>
      </w:r>
    </w:p>
    <w:p w14:paraId="1E384D81" w14:textId="77777777" w:rsidR="00B57A2A" w:rsidRPr="00B57A2A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Пропуск приема одной или нескольких доз препарата</w:t>
      </w:r>
    </w:p>
    <w:p w14:paraId="7102065B" w14:textId="343EC7B3" w:rsidR="00B57A2A" w:rsidRPr="00B57A2A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Если случайно пропущен прием препарата, то надо, как можно скорее, принять очередную дозу и далее продолжать принимать препарат Леволет</w:t>
      </w:r>
      <w:r w:rsidRPr="00B57A2A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B57A2A">
        <w:rPr>
          <w:rFonts w:ascii="Times New Roman" w:hAnsi="Times New Roman"/>
          <w:sz w:val="24"/>
          <w:szCs w:val="24"/>
        </w:rPr>
        <w:t>Р согласно рекомендованному режиму его дозирования.</w:t>
      </w:r>
    </w:p>
    <w:p w14:paraId="75BACF9C" w14:textId="77777777" w:rsidR="00B57A2A" w:rsidRPr="00B57A2A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7A2A">
        <w:rPr>
          <w:rFonts w:ascii="Times New Roman" w:hAnsi="Times New Roman"/>
          <w:b/>
          <w:i/>
          <w:sz w:val="24"/>
          <w:szCs w:val="24"/>
        </w:rPr>
        <w:t>Дозы и продолжительность лечения</w:t>
      </w:r>
    </w:p>
    <w:p w14:paraId="1ABB8BEF" w14:textId="77777777" w:rsidR="00B57A2A" w:rsidRPr="00EE41BD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1BD">
        <w:rPr>
          <w:rFonts w:ascii="Times New Roman" w:hAnsi="Times New Roman"/>
          <w:sz w:val="24"/>
          <w:szCs w:val="24"/>
        </w:rPr>
        <w:t>Режим дозирования определяется характером и тяжестью инфекции, а также чувствительностью предполагаемого возбудителя. Продолжительность лечения варьирует в зависимости от течения заболевания.</w:t>
      </w:r>
    </w:p>
    <w:p w14:paraId="27F417D5" w14:textId="56104983" w:rsidR="00B57A2A" w:rsidRPr="00EE41BD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E41BD">
        <w:rPr>
          <w:rFonts w:ascii="Times New Roman" w:hAnsi="Times New Roman"/>
          <w:i/>
          <w:sz w:val="24"/>
          <w:szCs w:val="24"/>
        </w:rPr>
        <w:t>Рекомендуемы</w:t>
      </w:r>
      <w:r w:rsidR="00AC72B2">
        <w:rPr>
          <w:rFonts w:ascii="Times New Roman" w:hAnsi="Times New Roman"/>
          <w:i/>
          <w:sz w:val="24"/>
          <w:szCs w:val="24"/>
        </w:rPr>
        <w:t>й</w:t>
      </w:r>
      <w:r w:rsidRPr="00EE41BD">
        <w:rPr>
          <w:rFonts w:ascii="Times New Roman" w:hAnsi="Times New Roman"/>
          <w:i/>
          <w:sz w:val="24"/>
          <w:szCs w:val="24"/>
        </w:rPr>
        <w:t xml:space="preserve"> режим дозирования и продолжительность лечения у пациентов с нормальной функцией почек (КК &gt;50</w:t>
      </w:r>
      <w:r w:rsidRPr="00EE41BD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E41BD">
        <w:rPr>
          <w:rFonts w:ascii="Times New Roman" w:hAnsi="Times New Roman"/>
          <w:i/>
          <w:sz w:val="24"/>
          <w:szCs w:val="24"/>
        </w:rPr>
        <w:t>мл/мин)</w:t>
      </w:r>
    </w:p>
    <w:p w14:paraId="5A430F35" w14:textId="3149A8DC" w:rsidR="00B57A2A" w:rsidRPr="00EE41BD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1BD">
        <w:rPr>
          <w:rFonts w:ascii="Times New Roman" w:hAnsi="Times New Roman"/>
          <w:sz w:val="24"/>
          <w:szCs w:val="24"/>
        </w:rPr>
        <w:t xml:space="preserve">- </w:t>
      </w:r>
      <w:r w:rsidRPr="00EE41BD">
        <w:rPr>
          <w:rFonts w:ascii="Times New Roman" w:hAnsi="Times New Roman"/>
          <w:i/>
          <w:sz w:val="24"/>
          <w:szCs w:val="24"/>
        </w:rPr>
        <w:t>Острый синусит</w:t>
      </w:r>
      <w:r w:rsidRPr="00EE41BD">
        <w:rPr>
          <w:rFonts w:ascii="Times New Roman" w:hAnsi="Times New Roman"/>
          <w:sz w:val="24"/>
          <w:szCs w:val="24"/>
        </w:rPr>
        <w:t>: по 2 таблетки Леволет</w:t>
      </w:r>
      <w:r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EE41BD">
        <w:rPr>
          <w:rFonts w:ascii="Times New Roman" w:hAnsi="Times New Roman"/>
          <w:sz w:val="24"/>
          <w:szCs w:val="24"/>
        </w:rPr>
        <w:t>Р 250 мг или по 1 таблетке Леволет</w:t>
      </w:r>
      <w:r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EE41BD">
        <w:rPr>
          <w:rFonts w:ascii="Times New Roman" w:hAnsi="Times New Roman"/>
          <w:sz w:val="24"/>
          <w:szCs w:val="24"/>
        </w:rPr>
        <w:t>Р 500</w:t>
      </w:r>
      <w:r w:rsidR="00EE41BD" w:rsidRPr="00EE41BD">
        <w:rPr>
          <w:rFonts w:ascii="Times New Roman" w:hAnsi="Times New Roman"/>
          <w:sz w:val="24"/>
          <w:szCs w:val="24"/>
        </w:rPr>
        <w:t xml:space="preserve"> </w:t>
      </w:r>
      <w:r w:rsidRPr="00EE41BD">
        <w:rPr>
          <w:rFonts w:ascii="Times New Roman" w:hAnsi="Times New Roman"/>
          <w:sz w:val="24"/>
          <w:szCs w:val="24"/>
        </w:rPr>
        <w:t>мг 1</w:t>
      </w:r>
      <w:r w:rsidR="00EE41BD">
        <w:rPr>
          <w:rFonts w:ascii="Times New Roman" w:hAnsi="Times New Roman"/>
          <w:sz w:val="24"/>
          <w:szCs w:val="24"/>
        </w:rPr>
        <w:t> </w:t>
      </w:r>
      <w:r w:rsidRPr="00EE41BD">
        <w:rPr>
          <w:rFonts w:ascii="Times New Roman" w:hAnsi="Times New Roman"/>
          <w:sz w:val="24"/>
          <w:szCs w:val="24"/>
        </w:rPr>
        <w:t xml:space="preserve">раз в сутки (соответственно по 500 мг левофлоксацина) </w:t>
      </w:r>
      <w:r w:rsidR="00EE41BD">
        <w:rPr>
          <w:rFonts w:ascii="Times New Roman" w:hAnsi="Times New Roman"/>
          <w:sz w:val="24"/>
          <w:szCs w:val="24"/>
        </w:rPr>
        <w:t xml:space="preserve">– </w:t>
      </w:r>
      <w:r w:rsidRPr="00EE41BD">
        <w:rPr>
          <w:rFonts w:ascii="Times New Roman" w:hAnsi="Times New Roman"/>
          <w:sz w:val="24"/>
          <w:szCs w:val="24"/>
        </w:rPr>
        <w:t>10-14 дней.</w:t>
      </w:r>
    </w:p>
    <w:p w14:paraId="59AB535F" w14:textId="480D4693" w:rsidR="00B57A2A" w:rsidRPr="00EE41BD" w:rsidRDefault="00EE41BD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EE41BD">
        <w:rPr>
          <w:rFonts w:ascii="Times New Roman" w:hAnsi="Times New Roman"/>
          <w:i/>
          <w:sz w:val="24"/>
          <w:szCs w:val="24"/>
        </w:rPr>
        <w:t>Обострение хронического бронхита</w:t>
      </w:r>
      <w:r w:rsidR="00B57A2A" w:rsidRPr="00EE41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по 2</w:t>
      </w:r>
      <w:r w:rsidRPr="00EE41BD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таблетки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Р 250 мг или по 1</w:t>
      </w:r>
      <w:r w:rsidR="00B57A2A" w:rsidRPr="00EE41BD">
        <w:rPr>
          <w:rFonts w:ascii="Times New Roman" w:hAnsi="Times New Roman"/>
          <w:sz w:val="24"/>
          <w:szCs w:val="24"/>
          <w:lang w:val="en-US"/>
        </w:rPr>
        <w:t> </w:t>
      </w:r>
      <w:r w:rsidR="00B57A2A" w:rsidRPr="00EE41BD">
        <w:rPr>
          <w:rFonts w:ascii="Times New Roman" w:hAnsi="Times New Roman"/>
          <w:sz w:val="24"/>
          <w:szCs w:val="24"/>
        </w:rPr>
        <w:t>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Р 500 мг 1 раз в сутки (соответственно по 500 мг левофлоксацина)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57A2A" w:rsidRPr="00EE41BD">
        <w:rPr>
          <w:rFonts w:ascii="Times New Roman" w:hAnsi="Times New Roman"/>
          <w:sz w:val="24"/>
          <w:szCs w:val="24"/>
        </w:rPr>
        <w:t>7-10 дней.</w:t>
      </w:r>
    </w:p>
    <w:p w14:paraId="1CAA4BAA" w14:textId="3DE2C7F4" w:rsidR="00B57A2A" w:rsidRPr="00EE41BD" w:rsidRDefault="00216F4E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216F4E">
        <w:rPr>
          <w:rFonts w:ascii="Times New Roman" w:hAnsi="Times New Roman"/>
          <w:i/>
          <w:sz w:val="24"/>
          <w:szCs w:val="24"/>
        </w:rPr>
        <w:t>Внебольничная пневмония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57A2A" w:rsidRPr="00EE41BD">
        <w:rPr>
          <w:rFonts w:ascii="Times New Roman" w:hAnsi="Times New Roman"/>
          <w:sz w:val="24"/>
          <w:szCs w:val="24"/>
        </w:rPr>
        <w:t>по 2 таблетки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Р 250 мг или по 1 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Р 500 мг 1-2 раза в сутки (соответственно по 500-1000 мг левофлоксацина)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57A2A" w:rsidRPr="00EE41BD">
        <w:rPr>
          <w:rFonts w:ascii="Times New Roman" w:hAnsi="Times New Roman"/>
          <w:sz w:val="24"/>
          <w:szCs w:val="24"/>
        </w:rPr>
        <w:t>7-14 дней.</w:t>
      </w:r>
    </w:p>
    <w:p w14:paraId="4C257EAA" w14:textId="401DB46E" w:rsidR="00B57A2A" w:rsidRPr="00EE41BD" w:rsidRDefault="00216F4E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216F4E">
        <w:rPr>
          <w:rFonts w:ascii="Times New Roman" w:hAnsi="Times New Roman"/>
          <w:i/>
          <w:sz w:val="24"/>
          <w:szCs w:val="24"/>
        </w:rPr>
        <w:t>Неосложнённые инфекции мочевыводящих путей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B57A2A" w:rsidRPr="00EE41BD">
        <w:rPr>
          <w:rFonts w:ascii="Times New Roman" w:hAnsi="Times New Roman"/>
          <w:sz w:val="24"/>
          <w:szCs w:val="24"/>
        </w:rPr>
        <w:t>по 1 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Р 250 мг 1 раз в сутки (соответственно по 250 мг левофлоксацина)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57A2A" w:rsidRPr="00EE41BD">
        <w:rPr>
          <w:rFonts w:ascii="Times New Roman" w:hAnsi="Times New Roman"/>
          <w:sz w:val="24"/>
          <w:szCs w:val="24"/>
        </w:rPr>
        <w:t>3 дня.</w:t>
      </w:r>
    </w:p>
    <w:p w14:paraId="55792BA7" w14:textId="620F0EFA" w:rsidR="00B57A2A" w:rsidRPr="00EE41BD" w:rsidRDefault="00216F4E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216F4E">
        <w:rPr>
          <w:rFonts w:ascii="Times New Roman" w:hAnsi="Times New Roman"/>
          <w:i/>
          <w:sz w:val="24"/>
          <w:szCs w:val="24"/>
        </w:rPr>
        <w:t>Осложнённые инфекции мочевыводящих путей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B57A2A" w:rsidRPr="00EE41BD">
        <w:rPr>
          <w:rFonts w:ascii="Times New Roman" w:hAnsi="Times New Roman"/>
          <w:sz w:val="24"/>
          <w:szCs w:val="24"/>
        </w:rPr>
        <w:t>по 2 таблетки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Р 250 мг 1</w:t>
      </w:r>
      <w:r w:rsidR="00B57A2A" w:rsidRPr="00EE41BD">
        <w:rPr>
          <w:rFonts w:ascii="Times New Roman" w:hAnsi="Times New Roman"/>
          <w:sz w:val="24"/>
          <w:szCs w:val="24"/>
          <w:lang w:val="en-US"/>
        </w:rPr>
        <w:t> </w:t>
      </w:r>
      <w:r w:rsidR="00B57A2A" w:rsidRPr="00EE41BD">
        <w:rPr>
          <w:rFonts w:ascii="Times New Roman" w:hAnsi="Times New Roman"/>
          <w:sz w:val="24"/>
          <w:szCs w:val="24"/>
        </w:rPr>
        <w:t>раз в сутки или по 1 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Р 500 мг 1 раз в сутки (соответственно по 500 мг левофлоксацина) </w:t>
      </w:r>
      <w:r>
        <w:rPr>
          <w:rFonts w:ascii="Times New Roman" w:hAnsi="Times New Roman"/>
          <w:sz w:val="24"/>
          <w:szCs w:val="24"/>
        </w:rPr>
        <w:t>–</w:t>
      </w:r>
      <w:r w:rsidR="00B57A2A" w:rsidRPr="00EE41BD">
        <w:rPr>
          <w:rFonts w:ascii="Times New Roman" w:hAnsi="Times New Roman"/>
          <w:sz w:val="24"/>
          <w:szCs w:val="24"/>
        </w:rPr>
        <w:t xml:space="preserve"> 7-14 дней.</w:t>
      </w:r>
    </w:p>
    <w:p w14:paraId="248C9517" w14:textId="23F50EF8" w:rsidR="00B57A2A" w:rsidRPr="00EE41BD" w:rsidRDefault="000B181E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0B181E">
        <w:rPr>
          <w:rFonts w:ascii="Times New Roman" w:hAnsi="Times New Roman"/>
          <w:i/>
          <w:sz w:val="24"/>
          <w:szCs w:val="24"/>
        </w:rPr>
        <w:t>Пиелонефрит</w:t>
      </w:r>
      <w:r>
        <w:rPr>
          <w:rFonts w:ascii="Times New Roman" w:hAnsi="Times New Roman"/>
          <w:sz w:val="24"/>
          <w:szCs w:val="24"/>
        </w:rPr>
        <w:t xml:space="preserve">: </w:t>
      </w:r>
      <w:r w:rsidR="00B57A2A" w:rsidRPr="00EE41BD">
        <w:rPr>
          <w:rFonts w:ascii="Times New Roman" w:hAnsi="Times New Roman"/>
          <w:sz w:val="24"/>
          <w:szCs w:val="24"/>
        </w:rPr>
        <w:t>по 2 таблетки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Р 250 мг 1 раз в сутки или по 1 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>
        <w:rPr>
          <w:rFonts w:ascii="Times New Roman" w:hAnsi="Times New Roman"/>
          <w:sz w:val="24"/>
          <w:szCs w:val="24"/>
        </w:rPr>
        <w:t> </w:t>
      </w:r>
      <w:r w:rsidR="00B57A2A" w:rsidRPr="00EE41BD">
        <w:rPr>
          <w:rFonts w:ascii="Times New Roman" w:hAnsi="Times New Roman"/>
          <w:sz w:val="24"/>
          <w:szCs w:val="24"/>
        </w:rPr>
        <w:t xml:space="preserve">Р 500 мг 1 раз в сутки (соответственно по 500 мг левофлоксацина)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57A2A" w:rsidRPr="00EE41BD">
        <w:rPr>
          <w:rFonts w:ascii="Times New Roman" w:hAnsi="Times New Roman"/>
          <w:sz w:val="24"/>
          <w:szCs w:val="24"/>
        </w:rPr>
        <w:t>7-10 дней.</w:t>
      </w:r>
    </w:p>
    <w:p w14:paraId="40404AA7" w14:textId="4FE0895C" w:rsidR="00B57A2A" w:rsidRPr="00EE41BD" w:rsidRDefault="000B181E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0B181E">
        <w:rPr>
          <w:rFonts w:ascii="Times New Roman" w:hAnsi="Times New Roman"/>
          <w:i/>
          <w:sz w:val="24"/>
          <w:szCs w:val="24"/>
        </w:rPr>
        <w:t>Хронический бактериальный простатит</w:t>
      </w:r>
      <w:r w:rsidR="00B57A2A" w:rsidRPr="00EE41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по 2 таблетки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Р 250 мг или по</w:t>
      </w:r>
      <w:r>
        <w:rPr>
          <w:rFonts w:ascii="Times New Roman" w:hAnsi="Times New Roman"/>
          <w:sz w:val="24"/>
          <w:szCs w:val="24"/>
        </w:rPr>
        <w:t> </w:t>
      </w:r>
      <w:r w:rsidR="00B57A2A" w:rsidRPr="00EE41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B57A2A" w:rsidRPr="00EE41BD">
        <w:rPr>
          <w:rFonts w:ascii="Times New Roman" w:hAnsi="Times New Roman"/>
          <w:sz w:val="24"/>
          <w:szCs w:val="24"/>
        </w:rPr>
        <w:t>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Р 500 мг 1 раз в сутки (соответственно по 500 мг </w:t>
      </w:r>
      <w:r w:rsidR="00DF3C60">
        <w:rPr>
          <w:rFonts w:ascii="Times New Roman" w:hAnsi="Times New Roman"/>
          <w:sz w:val="24"/>
          <w:szCs w:val="24"/>
        </w:rPr>
        <w:br/>
      </w:r>
      <w:r w:rsidR="00B57A2A" w:rsidRPr="00EE41BD">
        <w:rPr>
          <w:rFonts w:ascii="Times New Roman" w:hAnsi="Times New Roman"/>
          <w:sz w:val="24"/>
          <w:szCs w:val="24"/>
        </w:rPr>
        <w:t xml:space="preserve">левофлоксацина) </w:t>
      </w:r>
      <w:r w:rsidR="00DF3C60">
        <w:rPr>
          <w:rFonts w:ascii="Times New Roman" w:hAnsi="Times New Roman"/>
          <w:sz w:val="24"/>
          <w:szCs w:val="24"/>
        </w:rPr>
        <w:t xml:space="preserve">– </w:t>
      </w:r>
      <w:r w:rsidR="00B57A2A" w:rsidRPr="00EE41BD">
        <w:rPr>
          <w:rFonts w:ascii="Times New Roman" w:hAnsi="Times New Roman"/>
          <w:sz w:val="24"/>
          <w:szCs w:val="24"/>
        </w:rPr>
        <w:t>28 дней.</w:t>
      </w:r>
    </w:p>
    <w:p w14:paraId="7D7CC474" w14:textId="7C85A272" w:rsidR="00B57A2A" w:rsidRPr="00EE41BD" w:rsidRDefault="004F4041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4F4041">
        <w:rPr>
          <w:rFonts w:ascii="Times New Roman" w:hAnsi="Times New Roman"/>
          <w:i/>
          <w:sz w:val="24"/>
          <w:szCs w:val="24"/>
        </w:rPr>
        <w:t>Инфекции кожных покровов и мягких тканей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B57A2A" w:rsidRPr="00EE41BD">
        <w:rPr>
          <w:rFonts w:ascii="Times New Roman" w:hAnsi="Times New Roman"/>
          <w:sz w:val="24"/>
          <w:szCs w:val="24"/>
        </w:rPr>
        <w:t>по 2 таблетки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Р 250 мг или </w:t>
      </w:r>
      <w:r>
        <w:rPr>
          <w:rFonts w:ascii="Times New Roman" w:hAnsi="Times New Roman"/>
          <w:sz w:val="24"/>
          <w:szCs w:val="24"/>
        </w:rPr>
        <w:br/>
      </w:r>
      <w:r w:rsidR="00B57A2A" w:rsidRPr="00EE41BD">
        <w:rPr>
          <w:rFonts w:ascii="Times New Roman" w:hAnsi="Times New Roman"/>
          <w:sz w:val="24"/>
          <w:szCs w:val="24"/>
        </w:rPr>
        <w:t>по 1 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Р 500 мг</w:t>
      </w:r>
      <w:r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1-2 раза в сутки (соответственно по 500-1000 мг левофлоксацина) </w:t>
      </w:r>
      <w:r w:rsidR="00373BF4">
        <w:rPr>
          <w:rFonts w:ascii="Times New Roman" w:hAnsi="Times New Roman"/>
          <w:sz w:val="24"/>
          <w:szCs w:val="24"/>
        </w:rPr>
        <w:t xml:space="preserve">– </w:t>
      </w:r>
      <w:r w:rsidR="00B57A2A" w:rsidRPr="00EE41BD">
        <w:rPr>
          <w:rFonts w:ascii="Times New Roman" w:hAnsi="Times New Roman"/>
          <w:sz w:val="24"/>
          <w:szCs w:val="24"/>
        </w:rPr>
        <w:t>7-14 дней.</w:t>
      </w:r>
    </w:p>
    <w:p w14:paraId="36898389" w14:textId="2DB5E02F" w:rsidR="00B57A2A" w:rsidRPr="00EE41BD" w:rsidRDefault="00C50D0E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B420C6">
        <w:rPr>
          <w:rFonts w:ascii="Times New Roman" w:hAnsi="Times New Roman"/>
          <w:i/>
          <w:sz w:val="24"/>
          <w:szCs w:val="24"/>
        </w:rPr>
        <w:t>Комплексное лечение лекарствен</w:t>
      </w:r>
      <w:r w:rsidRPr="00B420C6">
        <w:rPr>
          <w:rFonts w:ascii="Times New Roman" w:hAnsi="Times New Roman"/>
          <w:i/>
          <w:sz w:val="24"/>
          <w:szCs w:val="24"/>
        </w:rPr>
        <w:t>но-устойчивых форм туберкулеза</w:t>
      </w:r>
      <w:r>
        <w:rPr>
          <w:rFonts w:ascii="Times New Roman" w:hAnsi="Times New Roman"/>
          <w:sz w:val="24"/>
          <w:szCs w:val="24"/>
        </w:rPr>
        <w:t xml:space="preserve">: </w:t>
      </w:r>
      <w:r w:rsidR="00B57A2A" w:rsidRPr="00EE41BD">
        <w:rPr>
          <w:rFonts w:ascii="Times New Roman" w:hAnsi="Times New Roman"/>
          <w:sz w:val="24"/>
          <w:szCs w:val="24"/>
        </w:rPr>
        <w:t>по 1</w:t>
      </w:r>
      <w:r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 xml:space="preserve">Р 500 мг 1-2 раза в сутки (соответственно по 500-1000 мг </w:t>
      </w:r>
      <w:r>
        <w:rPr>
          <w:rFonts w:ascii="Times New Roman" w:hAnsi="Times New Roman"/>
          <w:sz w:val="24"/>
          <w:szCs w:val="24"/>
        </w:rPr>
        <w:br/>
      </w:r>
      <w:r w:rsidR="00B57A2A" w:rsidRPr="00EE41BD">
        <w:rPr>
          <w:rFonts w:ascii="Times New Roman" w:hAnsi="Times New Roman"/>
          <w:sz w:val="24"/>
          <w:szCs w:val="24"/>
        </w:rPr>
        <w:t xml:space="preserve">левофлоксацина)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57A2A" w:rsidRPr="00EE41BD">
        <w:rPr>
          <w:rFonts w:ascii="Times New Roman" w:hAnsi="Times New Roman"/>
          <w:sz w:val="24"/>
          <w:szCs w:val="24"/>
        </w:rPr>
        <w:t>до 3-х месяцев.</w:t>
      </w:r>
    </w:p>
    <w:p w14:paraId="5488001A" w14:textId="740280D6" w:rsidR="00B57A2A" w:rsidRPr="00EE41BD" w:rsidRDefault="00B420C6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A2A" w:rsidRPr="00B420C6">
        <w:rPr>
          <w:rFonts w:ascii="Times New Roman" w:hAnsi="Times New Roman"/>
          <w:i/>
          <w:sz w:val="24"/>
          <w:szCs w:val="24"/>
        </w:rPr>
        <w:t>Профилактика и лечение сибирской язвы при воздушно-капельном пути заражения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  <w:r w:rsidR="00B57A2A" w:rsidRPr="00EE41BD">
        <w:rPr>
          <w:rFonts w:ascii="Times New Roman" w:hAnsi="Times New Roman"/>
          <w:sz w:val="24"/>
          <w:szCs w:val="24"/>
        </w:rPr>
        <w:t>по 2 таблетки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Р 250</w:t>
      </w:r>
      <w:r w:rsidR="00B57A2A" w:rsidRPr="00EE41BD">
        <w:rPr>
          <w:rFonts w:ascii="Times New Roman" w:hAnsi="Times New Roman"/>
          <w:sz w:val="24"/>
          <w:szCs w:val="24"/>
          <w:lang w:val="en-US"/>
        </w:rPr>
        <w:t> </w:t>
      </w:r>
      <w:r w:rsidR="00B57A2A" w:rsidRPr="00EE41BD">
        <w:rPr>
          <w:rFonts w:ascii="Times New Roman" w:hAnsi="Times New Roman"/>
          <w:sz w:val="24"/>
          <w:szCs w:val="24"/>
        </w:rPr>
        <w:t>мг или по 1 таблетке Леволет</w:t>
      </w:r>
      <w:r w:rsidR="00B57A2A" w:rsidRPr="00EE41BD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="00345188">
        <w:rPr>
          <w:rFonts w:ascii="Times New Roman" w:hAnsi="Times New Roman"/>
          <w:sz w:val="24"/>
          <w:szCs w:val="24"/>
        </w:rPr>
        <w:t>Р</w:t>
      </w:r>
      <w:r w:rsidR="009D6A87">
        <w:rPr>
          <w:rFonts w:ascii="Times New Roman" w:hAnsi="Times New Roman"/>
          <w:sz w:val="24"/>
          <w:szCs w:val="24"/>
        </w:rPr>
        <w:t xml:space="preserve"> </w:t>
      </w:r>
      <w:r w:rsidR="00B57A2A" w:rsidRPr="00EE41BD">
        <w:rPr>
          <w:rFonts w:ascii="Times New Roman" w:hAnsi="Times New Roman"/>
          <w:sz w:val="24"/>
          <w:szCs w:val="24"/>
        </w:rPr>
        <w:t>500</w:t>
      </w:r>
      <w:r w:rsidR="00B57A2A" w:rsidRPr="00EE41BD">
        <w:rPr>
          <w:rFonts w:ascii="Times New Roman" w:hAnsi="Times New Roman"/>
          <w:sz w:val="24"/>
          <w:szCs w:val="24"/>
          <w:lang w:val="en-US"/>
        </w:rPr>
        <w:t> </w:t>
      </w:r>
      <w:r w:rsidR="00B57A2A" w:rsidRPr="00EE41BD">
        <w:rPr>
          <w:rFonts w:ascii="Times New Roman" w:hAnsi="Times New Roman"/>
          <w:sz w:val="24"/>
          <w:szCs w:val="24"/>
        </w:rPr>
        <w:t>мг (соответственно по 500 мг левофлоксацина) 1 раз в сутки в течение до 8 недель.</w:t>
      </w:r>
    </w:p>
    <w:p w14:paraId="0078BD6A" w14:textId="49E460CB" w:rsidR="00B57A2A" w:rsidRPr="00EE41BD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E41BD">
        <w:rPr>
          <w:rFonts w:ascii="Times New Roman" w:hAnsi="Times New Roman"/>
          <w:i/>
          <w:sz w:val="24"/>
          <w:szCs w:val="24"/>
        </w:rPr>
        <w:t xml:space="preserve">Режим дозирования у пациентов с нарушением функции почек (КК </w:t>
      </w:r>
      <w:r w:rsidR="003E29C7">
        <w:rPr>
          <w:rFonts w:ascii="Times New Roman" w:hAnsi="Times New Roman"/>
          <w:i/>
          <w:sz w:val="24"/>
          <w:szCs w:val="24"/>
        </w:rPr>
        <w:t>≤</w:t>
      </w:r>
      <w:r w:rsidRPr="00EE41BD">
        <w:rPr>
          <w:rFonts w:ascii="Times New Roman" w:hAnsi="Times New Roman"/>
          <w:i/>
          <w:sz w:val="24"/>
          <w:szCs w:val="24"/>
        </w:rPr>
        <w:t>50 мл/мин)</w:t>
      </w:r>
    </w:p>
    <w:p w14:paraId="3307486D" w14:textId="77777777" w:rsidR="00B57A2A" w:rsidRPr="00EE41BD" w:rsidRDefault="00B57A2A" w:rsidP="00EE41B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1BD">
        <w:rPr>
          <w:rFonts w:ascii="Times New Roman" w:hAnsi="Times New Roman"/>
          <w:sz w:val="24"/>
          <w:szCs w:val="24"/>
        </w:rPr>
        <w:t>Левофлоксацин выводится преимущественно почками, поэтому при лечении пациентов с нарушенной функцией почек требуется снижение дозы препарата (см. таблицу ниже).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521CF" w14:paraId="59830C41" w14:textId="77777777" w:rsidTr="00266F1C">
        <w:trPr>
          <w:tblHeader/>
        </w:trPr>
        <w:tc>
          <w:tcPr>
            <w:tcW w:w="2336" w:type="dxa"/>
            <w:vMerge w:val="restart"/>
          </w:tcPr>
          <w:p w14:paraId="39724AED" w14:textId="77777777" w:rsidR="009521CF" w:rsidRDefault="009521CF" w:rsidP="009521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КК</w:t>
            </w:r>
          </w:p>
        </w:tc>
        <w:tc>
          <w:tcPr>
            <w:tcW w:w="7009" w:type="dxa"/>
            <w:gridSpan w:val="3"/>
          </w:tcPr>
          <w:p w14:paraId="70B13675" w14:textId="0C0639CF" w:rsidR="009521CF" w:rsidRDefault="009521CF" w:rsidP="009521C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Режим дозирования таблеток Леволет</w:t>
            </w:r>
            <w:r w:rsidRPr="00B57A2A">
              <w:rPr>
                <w:sz w:val="24"/>
                <w:szCs w:val="24"/>
                <w:vertAlign w:val="superscript"/>
              </w:rPr>
              <w:t>®</w:t>
            </w:r>
            <w:r w:rsidR="009D6A87" w:rsidRPr="009D6A87">
              <w:rPr>
                <w:sz w:val="24"/>
                <w:szCs w:val="24"/>
              </w:rPr>
              <w:t xml:space="preserve"> </w:t>
            </w:r>
            <w:r w:rsidRPr="00B57A2A">
              <w:rPr>
                <w:sz w:val="24"/>
                <w:szCs w:val="24"/>
              </w:rPr>
              <w:t>Р</w:t>
            </w:r>
          </w:p>
        </w:tc>
      </w:tr>
      <w:tr w:rsidR="009521CF" w14:paraId="08792357" w14:textId="77777777" w:rsidTr="00266F1C">
        <w:trPr>
          <w:tblHeader/>
        </w:trPr>
        <w:tc>
          <w:tcPr>
            <w:tcW w:w="2336" w:type="dxa"/>
            <w:vMerge/>
          </w:tcPr>
          <w:p w14:paraId="137A0D3B" w14:textId="77777777" w:rsidR="009521CF" w:rsidRDefault="009521CF" w:rsidP="009521C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4C5A4E53" w14:textId="77777777" w:rsidR="009521CF" w:rsidRDefault="009521CF" w:rsidP="00173981">
            <w:pPr>
              <w:spacing w:after="0" w:line="240" w:lineRule="auto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Рекомендуемая доза при КК&gt; 50</w:t>
            </w:r>
            <w:r>
              <w:rPr>
                <w:sz w:val="24"/>
                <w:szCs w:val="24"/>
              </w:rPr>
              <w:t xml:space="preserve"> </w:t>
            </w:r>
            <w:r w:rsidRPr="00B57A2A">
              <w:rPr>
                <w:sz w:val="24"/>
                <w:szCs w:val="24"/>
              </w:rPr>
              <w:t>мл/мин по 250</w:t>
            </w:r>
            <w:r>
              <w:rPr>
                <w:sz w:val="24"/>
                <w:szCs w:val="24"/>
              </w:rPr>
              <w:t xml:space="preserve"> мг/</w:t>
            </w:r>
            <w:r w:rsidRPr="00B57A2A">
              <w:rPr>
                <w:sz w:val="24"/>
                <w:szCs w:val="24"/>
              </w:rPr>
              <w:t>24 ч</w:t>
            </w:r>
          </w:p>
        </w:tc>
        <w:tc>
          <w:tcPr>
            <w:tcW w:w="2336" w:type="dxa"/>
          </w:tcPr>
          <w:p w14:paraId="3F7BA157" w14:textId="77777777" w:rsidR="009521CF" w:rsidRDefault="009521CF" w:rsidP="00173981">
            <w:pPr>
              <w:spacing w:after="0" w:line="240" w:lineRule="auto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Рекомендуемая доза при КК&gt; 50</w:t>
            </w:r>
            <w:r>
              <w:rPr>
                <w:sz w:val="24"/>
                <w:szCs w:val="24"/>
              </w:rPr>
              <w:t xml:space="preserve"> </w:t>
            </w:r>
            <w:r w:rsidRPr="00B57A2A">
              <w:rPr>
                <w:sz w:val="24"/>
                <w:szCs w:val="24"/>
              </w:rPr>
              <w:t>мл/мин: 500</w:t>
            </w:r>
            <w:r>
              <w:rPr>
                <w:sz w:val="24"/>
                <w:szCs w:val="24"/>
              </w:rPr>
              <w:t xml:space="preserve"> </w:t>
            </w:r>
            <w:r w:rsidRPr="00B57A2A">
              <w:rPr>
                <w:sz w:val="24"/>
                <w:szCs w:val="24"/>
              </w:rPr>
              <w:t>мг/24</w:t>
            </w:r>
            <w:r>
              <w:rPr>
                <w:sz w:val="24"/>
                <w:szCs w:val="24"/>
              </w:rPr>
              <w:t xml:space="preserve"> </w:t>
            </w:r>
            <w:r w:rsidRPr="00B57A2A">
              <w:rPr>
                <w:sz w:val="24"/>
                <w:szCs w:val="24"/>
              </w:rPr>
              <w:t>ч</w:t>
            </w:r>
          </w:p>
        </w:tc>
        <w:tc>
          <w:tcPr>
            <w:tcW w:w="2337" w:type="dxa"/>
          </w:tcPr>
          <w:p w14:paraId="04E9629F" w14:textId="77777777" w:rsidR="009521CF" w:rsidRDefault="009521CF" w:rsidP="00173981">
            <w:pPr>
              <w:spacing w:after="0" w:line="240" w:lineRule="auto"/>
              <w:rPr>
                <w:sz w:val="24"/>
                <w:szCs w:val="24"/>
              </w:rPr>
            </w:pPr>
            <w:r w:rsidRPr="00B57A2A">
              <w:rPr>
                <w:sz w:val="24"/>
                <w:szCs w:val="24"/>
              </w:rPr>
              <w:t>Рекомендуемая доза при КК&gt; 50</w:t>
            </w:r>
            <w:r>
              <w:rPr>
                <w:sz w:val="24"/>
                <w:szCs w:val="24"/>
              </w:rPr>
              <w:t xml:space="preserve"> </w:t>
            </w:r>
            <w:r w:rsidRPr="00B57A2A">
              <w:rPr>
                <w:sz w:val="24"/>
                <w:szCs w:val="24"/>
              </w:rPr>
              <w:t>мл/мин: 500 мг/12</w:t>
            </w:r>
            <w:r>
              <w:rPr>
                <w:sz w:val="24"/>
                <w:szCs w:val="24"/>
              </w:rPr>
              <w:t xml:space="preserve"> </w:t>
            </w:r>
            <w:r w:rsidRPr="00B57A2A">
              <w:rPr>
                <w:sz w:val="24"/>
                <w:szCs w:val="24"/>
              </w:rPr>
              <w:t>ч</w:t>
            </w:r>
          </w:p>
        </w:tc>
      </w:tr>
      <w:tr w:rsidR="00B420C6" w:rsidRPr="00266F1C" w14:paraId="298DD7DC" w14:textId="77777777" w:rsidTr="00B420C6">
        <w:tc>
          <w:tcPr>
            <w:tcW w:w="2336" w:type="dxa"/>
          </w:tcPr>
          <w:p w14:paraId="2A4D6F36" w14:textId="77777777" w:rsidR="00B420C6" w:rsidRPr="00266F1C" w:rsidRDefault="009521CF" w:rsidP="00173981">
            <w:pPr>
              <w:spacing w:after="0" w:line="240" w:lineRule="auto"/>
              <w:rPr>
                <w:sz w:val="24"/>
                <w:szCs w:val="24"/>
              </w:rPr>
            </w:pPr>
            <w:r w:rsidRPr="00266F1C">
              <w:rPr>
                <w:sz w:val="24"/>
                <w:szCs w:val="24"/>
              </w:rPr>
              <w:t>50-20 мл/мин</w:t>
            </w:r>
          </w:p>
        </w:tc>
        <w:tc>
          <w:tcPr>
            <w:tcW w:w="2336" w:type="dxa"/>
          </w:tcPr>
          <w:p w14:paraId="77B043B4" w14:textId="6EDF22A0" w:rsidR="00B420C6" w:rsidRPr="00266F1C" w:rsidRDefault="001E0771" w:rsidP="00173981">
            <w:pPr>
              <w:spacing w:after="0" w:line="240" w:lineRule="auto"/>
              <w:rPr>
                <w:sz w:val="24"/>
                <w:szCs w:val="24"/>
              </w:rPr>
            </w:pPr>
            <w:r w:rsidRPr="00266F1C">
              <w:rPr>
                <w:sz w:val="24"/>
                <w:szCs w:val="24"/>
              </w:rPr>
              <w:t>противопоказано</w:t>
            </w:r>
            <w:r w:rsidR="00035CB5" w:rsidRPr="00266F1C">
              <w:rPr>
                <w:sz w:val="24"/>
                <w:szCs w:val="24"/>
              </w:rPr>
              <w:t xml:space="preserve"> вследствие невозможности дозирования данной формы выпуска</w:t>
            </w:r>
            <w:r w:rsidRPr="00266F1C">
              <w:rPr>
                <w:sz w:val="24"/>
                <w:szCs w:val="24"/>
              </w:rPr>
              <w:t>*</w:t>
            </w:r>
          </w:p>
        </w:tc>
        <w:tc>
          <w:tcPr>
            <w:tcW w:w="2336" w:type="dxa"/>
          </w:tcPr>
          <w:p w14:paraId="40224F78" w14:textId="77777777" w:rsidR="00B420C6" w:rsidRPr="00266F1C" w:rsidRDefault="009521CF" w:rsidP="00173981">
            <w:pPr>
              <w:spacing w:after="0" w:line="240" w:lineRule="auto"/>
              <w:rPr>
                <w:sz w:val="24"/>
                <w:szCs w:val="24"/>
              </w:rPr>
            </w:pPr>
            <w:r w:rsidRPr="00266F1C">
              <w:rPr>
                <w:sz w:val="24"/>
                <w:szCs w:val="24"/>
              </w:rPr>
              <w:t>первая доза: 500 мг затем по 250 мг/24 ч</w:t>
            </w:r>
          </w:p>
        </w:tc>
        <w:tc>
          <w:tcPr>
            <w:tcW w:w="2337" w:type="dxa"/>
          </w:tcPr>
          <w:p w14:paraId="7F4F8AD4" w14:textId="77777777" w:rsidR="00B420C6" w:rsidRPr="00266F1C" w:rsidRDefault="009521CF" w:rsidP="00173981">
            <w:pPr>
              <w:spacing w:after="0" w:line="240" w:lineRule="auto"/>
              <w:rPr>
                <w:sz w:val="24"/>
                <w:szCs w:val="24"/>
              </w:rPr>
            </w:pPr>
            <w:r w:rsidRPr="00266F1C">
              <w:rPr>
                <w:sz w:val="24"/>
                <w:szCs w:val="24"/>
              </w:rPr>
              <w:t>первая доза: 500 мг затем по 250 мг/ 12 ч</w:t>
            </w:r>
          </w:p>
        </w:tc>
      </w:tr>
      <w:tr w:rsidR="001E0771" w:rsidRPr="00266F1C" w14:paraId="7EF63EC3" w14:textId="77777777" w:rsidTr="000C1423">
        <w:tc>
          <w:tcPr>
            <w:tcW w:w="2336" w:type="dxa"/>
          </w:tcPr>
          <w:p w14:paraId="419EDBAD" w14:textId="5F7B5C41" w:rsidR="001E0771" w:rsidRPr="00266F1C" w:rsidRDefault="001E0771" w:rsidP="00266F1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66F1C">
              <w:rPr>
                <w:sz w:val="24"/>
                <w:szCs w:val="24"/>
              </w:rPr>
              <w:t>&lt;</w:t>
            </w:r>
            <w:r w:rsidR="00266F1C">
              <w:rPr>
                <w:sz w:val="24"/>
                <w:szCs w:val="24"/>
                <w:lang w:val="en-US"/>
              </w:rPr>
              <w:t xml:space="preserve"> </w:t>
            </w:r>
            <w:r w:rsidRPr="00266F1C">
              <w:rPr>
                <w:sz w:val="24"/>
                <w:szCs w:val="24"/>
              </w:rPr>
              <w:t>19</w:t>
            </w:r>
            <w:proofErr w:type="gramEnd"/>
            <w:r w:rsidRPr="00266F1C">
              <w:rPr>
                <w:sz w:val="24"/>
                <w:szCs w:val="24"/>
              </w:rPr>
              <w:t xml:space="preserve"> мл/мин</w:t>
            </w:r>
          </w:p>
        </w:tc>
        <w:tc>
          <w:tcPr>
            <w:tcW w:w="7009" w:type="dxa"/>
            <w:gridSpan w:val="3"/>
          </w:tcPr>
          <w:p w14:paraId="2001C52E" w14:textId="26523A15" w:rsidR="001E0771" w:rsidRPr="00266F1C" w:rsidRDefault="001E0771" w:rsidP="00BC4097">
            <w:pPr>
              <w:spacing w:after="0" w:line="240" w:lineRule="auto"/>
              <w:rPr>
                <w:sz w:val="24"/>
                <w:szCs w:val="24"/>
              </w:rPr>
            </w:pPr>
            <w:r w:rsidRPr="00266F1C">
              <w:rPr>
                <w:sz w:val="24"/>
                <w:szCs w:val="24"/>
              </w:rPr>
              <w:t>противопоказано</w:t>
            </w:r>
            <w:r w:rsidR="00035CB5" w:rsidRPr="00266F1C">
              <w:rPr>
                <w:sz w:val="24"/>
                <w:szCs w:val="24"/>
              </w:rPr>
              <w:t xml:space="preserve"> вследствие невозможности дозирования данной формы выпуска</w:t>
            </w:r>
            <w:r w:rsidRPr="00266F1C">
              <w:rPr>
                <w:sz w:val="24"/>
                <w:szCs w:val="24"/>
              </w:rPr>
              <w:t>*</w:t>
            </w:r>
          </w:p>
        </w:tc>
      </w:tr>
    </w:tbl>
    <w:p w14:paraId="0BDF0E6B" w14:textId="550D67D0" w:rsidR="00B57A2A" w:rsidRPr="00B57A2A" w:rsidRDefault="00B57A2A" w:rsidP="00BC4097">
      <w:pPr>
        <w:pStyle w:val="Style8"/>
        <w:spacing w:before="120" w:line="240" w:lineRule="auto"/>
        <w:rPr>
          <w:i/>
        </w:rPr>
      </w:pPr>
      <w:r w:rsidRPr="00266F1C">
        <w:t>*</w:t>
      </w:r>
      <w:r w:rsidRPr="00266F1C">
        <w:rPr>
          <w:i/>
        </w:rPr>
        <w:t>Таблетки 250 мг препарата Леволет</w:t>
      </w:r>
      <w:r w:rsidRPr="00266F1C">
        <w:rPr>
          <w:i/>
          <w:vertAlign w:val="superscript"/>
        </w:rPr>
        <w:t>®</w:t>
      </w:r>
      <w:r w:rsidR="009D6A87" w:rsidRPr="00266F1C">
        <w:rPr>
          <w:i/>
        </w:rPr>
        <w:t xml:space="preserve"> </w:t>
      </w:r>
      <w:r w:rsidRPr="00266F1C">
        <w:rPr>
          <w:i/>
        </w:rPr>
        <w:t>Р не имеют разделительной риски, поэтому получение дозы 125 мг невозможно. При необходимости приме</w:t>
      </w:r>
      <w:r w:rsidR="009946C2" w:rsidRPr="00266F1C">
        <w:rPr>
          <w:i/>
        </w:rPr>
        <w:t xml:space="preserve">нения левофлоксацина в дозе 125 </w:t>
      </w:r>
      <w:r w:rsidRPr="00266F1C">
        <w:rPr>
          <w:i/>
        </w:rPr>
        <w:t>мг следует использовать препараты лево</w:t>
      </w:r>
      <w:r w:rsidR="009946C2" w:rsidRPr="00266F1C">
        <w:rPr>
          <w:i/>
        </w:rPr>
        <w:t xml:space="preserve">флоксацина в форме </w:t>
      </w:r>
      <w:r w:rsidR="001E0771" w:rsidRPr="00266F1C">
        <w:rPr>
          <w:i/>
        </w:rPr>
        <w:t xml:space="preserve">раствора для инфузий или </w:t>
      </w:r>
      <w:r w:rsidR="009946C2" w:rsidRPr="00266F1C">
        <w:rPr>
          <w:i/>
        </w:rPr>
        <w:t xml:space="preserve">таблеток 250 </w:t>
      </w:r>
      <w:r w:rsidRPr="00266F1C">
        <w:rPr>
          <w:i/>
        </w:rPr>
        <w:t>мг с</w:t>
      </w:r>
      <w:r w:rsidR="009946C2" w:rsidRPr="00266F1C">
        <w:rPr>
          <w:i/>
        </w:rPr>
        <w:t> </w:t>
      </w:r>
      <w:r w:rsidRPr="00266F1C">
        <w:rPr>
          <w:i/>
        </w:rPr>
        <w:t>разделительной риской.</w:t>
      </w:r>
    </w:p>
    <w:p w14:paraId="0738E070" w14:textId="77777777" w:rsidR="00B57A2A" w:rsidRPr="00B57A2A" w:rsidRDefault="00B57A2A" w:rsidP="00BC4097">
      <w:pPr>
        <w:widowControl w:val="0"/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946C2">
        <w:rPr>
          <w:rFonts w:ascii="Times New Roman" w:hAnsi="Times New Roman"/>
          <w:i/>
          <w:sz w:val="24"/>
          <w:szCs w:val="24"/>
        </w:rPr>
        <w:t>Режим дозирования у пациентов с нарушениями</w:t>
      </w:r>
      <w:r w:rsidRPr="00B57A2A">
        <w:rPr>
          <w:rFonts w:ascii="Times New Roman" w:hAnsi="Times New Roman"/>
          <w:i/>
          <w:sz w:val="24"/>
          <w:szCs w:val="24"/>
        </w:rPr>
        <w:t xml:space="preserve"> функции печени</w:t>
      </w:r>
    </w:p>
    <w:p w14:paraId="2C06D9B1" w14:textId="77777777" w:rsidR="00B57A2A" w:rsidRPr="00B57A2A" w:rsidRDefault="00B57A2A" w:rsidP="009946C2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При нарушении функции печени не требуется коррекци</w:t>
      </w:r>
      <w:r w:rsidR="009946C2">
        <w:rPr>
          <w:rFonts w:ascii="Times New Roman" w:hAnsi="Times New Roman"/>
          <w:sz w:val="24"/>
          <w:szCs w:val="24"/>
        </w:rPr>
        <w:t xml:space="preserve">и режима дозирования, поскольку левофлоксацин </w:t>
      </w:r>
      <w:r w:rsidRPr="00B57A2A">
        <w:rPr>
          <w:rFonts w:ascii="Times New Roman" w:hAnsi="Times New Roman"/>
          <w:sz w:val="24"/>
          <w:szCs w:val="24"/>
        </w:rPr>
        <w:t>лишь незначительно метаболизируется в печени.</w:t>
      </w:r>
    </w:p>
    <w:p w14:paraId="1DDA2D33" w14:textId="77777777" w:rsidR="00B57A2A" w:rsidRPr="009946C2" w:rsidRDefault="00B57A2A" w:rsidP="009946C2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946C2">
        <w:rPr>
          <w:rFonts w:ascii="Times New Roman" w:hAnsi="Times New Roman"/>
          <w:i/>
          <w:sz w:val="24"/>
          <w:szCs w:val="24"/>
        </w:rPr>
        <w:t>Режим дозирования у пациентов пожилого возраста</w:t>
      </w:r>
    </w:p>
    <w:p w14:paraId="5604C575" w14:textId="77777777" w:rsidR="00B57A2A" w:rsidRPr="00B57A2A" w:rsidRDefault="00B57A2A" w:rsidP="009946C2">
      <w:pPr>
        <w:widowControl w:val="0"/>
        <w:spacing w:after="0" w:line="360" w:lineRule="auto"/>
        <w:jc w:val="both"/>
        <w:rPr>
          <w:rStyle w:val="FontStyle187"/>
          <w:b w:val="0"/>
          <w:bCs w:val="0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Для пациентов пожилого возраста не требуется коррекции режима дозирования, за исключением случаев снижения КК до 50 мл/мин и ниже.</w:t>
      </w:r>
    </w:p>
    <w:p w14:paraId="101801BB" w14:textId="77777777" w:rsidR="00B57A2A" w:rsidRPr="009946C2" w:rsidRDefault="00B57A2A" w:rsidP="009946C2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46C2">
        <w:rPr>
          <w:rFonts w:ascii="Times New Roman" w:hAnsi="Times New Roman"/>
          <w:b/>
          <w:sz w:val="24"/>
          <w:szCs w:val="24"/>
        </w:rPr>
        <w:t>Побочное действие</w:t>
      </w:r>
    </w:p>
    <w:p w14:paraId="04072FD0" w14:textId="6494506A" w:rsidR="00B57A2A" w:rsidRPr="009946C2" w:rsidRDefault="00B57A2A" w:rsidP="009946C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6C2">
        <w:rPr>
          <w:rFonts w:ascii="Times New Roman" w:hAnsi="Times New Roman"/>
          <w:color w:val="000000"/>
          <w:sz w:val="24"/>
          <w:szCs w:val="24"/>
        </w:rPr>
        <w:t>Указанные ниже побочные эффекты представлены в соответствии со следующими градациями частоты их возникновения: очень часто (≥1/10); часто (≥1/100, &lt;1/10); нечасто (≥1/1000, &lt;1/100); редко (≥1/10000, &lt;1/1000); очень редко (&lt;1/10000) (включая отдельные сообщения); частота неизвестна (по имеющимся данным определить частоту встречаемости не представляется возможным).</w:t>
      </w:r>
    </w:p>
    <w:p w14:paraId="22C1FFFA" w14:textId="77777777" w:rsidR="00B57A2A" w:rsidRPr="009946C2" w:rsidRDefault="00B57A2A" w:rsidP="009946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946C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Данные, полученные в клинических исследованиях и</w:t>
      </w:r>
      <w:r w:rsidR="009946C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при постмаркетинговом </w:t>
      </w:r>
      <w:r w:rsidR="0080211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применен</w:t>
      </w:r>
      <w:r w:rsidR="0080211A" w:rsidRPr="009946C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ии</w:t>
      </w:r>
      <w:r w:rsidRPr="009946C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препарата</w:t>
      </w:r>
    </w:p>
    <w:p w14:paraId="0785E341" w14:textId="77777777" w:rsidR="00B57A2A" w:rsidRPr="009946C2" w:rsidRDefault="00B57A2A" w:rsidP="009946C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46C2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сердца</w:t>
      </w:r>
    </w:p>
    <w:p w14:paraId="366BE864" w14:textId="77777777" w:rsidR="00B57A2A" w:rsidRP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="00FA5933" w:rsidRPr="00FA59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5933">
        <w:rPr>
          <w:rFonts w:ascii="Times New Roman" w:hAnsi="Times New Roman"/>
          <w:color w:val="000000"/>
          <w:sz w:val="24"/>
          <w:szCs w:val="24"/>
        </w:rPr>
        <w:t>синусовая тахикардия, ощущение сердцебиения.</w:t>
      </w:r>
    </w:p>
    <w:p w14:paraId="64BF0B82" w14:textId="59C71992" w:rsidR="00B57A2A" w:rsidRP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</w:t>
      </w:r>
      <w:r w:rsidRPr="00FA5933">
        <w:rPr>
          <w:rFonts w:ascii="Times New Roman" w:hAnsi="Times New Roman"/>
          <w:color w:val="000000"/>
          <w:sz w:val="24"/>
          <w:szCs w:val="24"/>
        </w:rPr>
        <w:t>): удлинение интервала QT, желудочковые нарушения ритма, желудочковая тахикардия, желудочковая тахикардия типа «пируэт», которые могут приводить к остановке сердца (см. разделы «Передозировка», «Особые указания»).</w:t>
      </w:r>
    </w:p>
    <w:p w14:paraId="10296980" w14:textId="77777777" w:rsidR="00B57A2A" w:rsidRPr="00FA5933" w:rsidRDefault="00B57A2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5933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крови и лимфатической системы</w:t>
      </w:r>
    </w:p>
    <w:p w14:paraId="1FC0FCDD" w14:textId="77777777" w:rsidR="00B57A2A" w:rsidRPr="00FA5933" w:rsidRDefault="00B57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FA593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FA5933">
        <w:rPr>
          <w:rFonts w:ascii="Times New Roman" w:hAnsi="Times New Roman"/>
          <w:color w:val="000000"/>
          <w:sz w:val="24"/>
          <w:szCs w:val="24"/>
        </w:rPr>
        <w:t>лейкопения (уменьшение количества лейкоцитов в периферической крови), эозинофилия (увеличение количества эозинофилов в периферической крови).</w:t>
      </w:r>
    </w:p>
    <w:p w14:paraId="49B167F3" w14:textId="77777777" w:rsidR="00B57A2A" w:rsidRPr="009946C2" w:rsidRDefault="00B57A2A" w:rsidP="00FA593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FA593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FA5933">
        <w:rPr>
          <w:rFonts w:ascii="Times New Roman" w:hAnsi="Times New Roman"/>
          <w:color w:val="000000"/>
          <w:sz w:val="24"/>
          <w:szCs w:val="24"/>
        </w:rPr>
        <w:t>нейтропения (уменьшение количества нейтрофилов в периферической крови), тромбоцитопения (уменьшение количества</w:t>
      </w:r>
      <w:r w:rsidRPr="009946C2">
        <w:rPr>
          <w:rFonts w:ascii="Times New Roman" w:hAnsi="Times New Roman"/>
          <w:color w:val="000000"/>
          <w:sz w:val="24"/>
          <w:szCs w:val="24"/>
        </w:rPr>
        <w:t xml:space="preserve"> тромбоцитов в периферической крови).</w:t>
      </w:r>
    </w:p>
    <w:p w14:paraId="35EDC1ED" w14:textId="7A9F8620" w:rsidR="00B57A2A" w:rsidRP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6C2"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Частота </w:t>
      </w: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неизвестна</w:t>
      </w:r>
      <w:r w:rsidRPr="00FA5933">
        <w:rPr>
          <w:rFonts w:ascii="Times New Roman" w:hAnsi="Times New Roman"/>
          <w:color w:val="000000"/>
          <w:sz w:val="24"/>
          <w:szCs w:val="24"/>
        </w:rPr>
        <w:t> </w:t>
      </w: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9946C2">
        <w:rPr>
          <w:rFonts w:ascii="Times New Roman" w:hAnsi="Times New Roman"/>
          <w:i/>
          <w:iCs/>
          <w:color w:val="000000"/>
          <w:sz w:val="24"/>
          <w:szCs w:val="24"/>
        </w:rPr>
        <w:t>постмаркетинговые данные):</w:t>
      </w:r>
      <w:r w:rsidRPr="009946C2">
        <w:rPr>
          <w:rFonts w:ascii="Times New Roman" w:hAnsi="Times New Roman"/>
          <w:color w:val="000000"/>
          <w:sz w:val="24"/>
          <w:szCs w:val="24"/>
        </w:rPr>
        <w:t xml:space="preserve"> панцитопения (уменьшение количества всех форменных элементов в периферической крови), агранулоцитоз </w:t>
      </w:r>
      <w:r w:rsidRPr="00FA5933">
        <w:rPr>
          <w:rFonts w:ascii="Times New Roman" w:hAnsi="Times New Roman"/>
          <w:color w:val="000000"/>
          <w:sz w:val="24"/>
          <w:szCs w:val="24"/>
        </w:rPr>
        <w:t>(отсутствие или резкое уменьшение количества гранулоцитов в периферической крови), гемолитическая анемия.</w:t>
      </w:r>
    </w:p>
    <w:p w14:paraId="042803FD" w14:textId="249999BF" w:rsidR="00B57A2A" w:rsidRPr="00FA5933" w:rsidRDefault="00B57A2A" w:rsidP="00203C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933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нервной системы</w:t>
      </w:r>
    </w:p>
    <w:p w14:paraId="0E2DBA15" w14:textId="77777777" w:rsidR="00B57A2A" w:rsidRPr="00FA5933" w:rsidRDefault="00B57A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Часто:</w:t>
      </w:r>
      <w:r w:rsidRPr="00FA593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FA5933">
        <w:rPr>
          <w:rFonts w:ascii="Times New Roman" w:hAnsi="Times New Roman"/>
          <w:color w:val="000000"/>
          <w:sz w:val="24"/>
          <w:szCs w:val="24"/>
        </w:rPr>
        <w:t>головная боль, головокружение.</w:t>
      </w:r>
    </w:p>
    <w:p w14:paraId="0B4881D0" w14:textId="77777777" w:rsidR="00B57A2A" w:rsidRPr="00FA5933" w:rsidRDefault="00B57A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FA593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FA5933">
        <w:rPr>
          <w:rFonts w:ascii="Times New Roman" w:hAnsi="Times New Roman"/>
          <w:color w:val="000000"/>
          <w:sz w:val="24"/>
          <w:szCs w:val="24"/>
        </w:rPr>
        <w:t>сонливость, тремор, дисгевзия (извращение вкуса).</w:t>
      </w:r>
    </w:p>
    <w:p w14:paraId="77A8B54B" w14:textId="77777777" w:rsidR="00B57A2A" w:rsidRP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Редко: </w:t>
      </w:r>
      <w:r w:rsidRPr="00FA5933">
        <w:rPr>
          <w:rFonts w:ascii="Times New Roman" w:hAnsi="Times New Roman"/>
          <w:color w:val="000000"/>
          <w:sz w:val="24"/>
          <w:szCs w:val="24"/>
        </w:rPr>
        <w:t>парестезия, судороги (см. раздел «Особые указания»).</w:t>
      </w:r>
    </w:p>
    <w:p w14:paraId="1E3FE8F2" w14:textId="0B59B55C" w:rsidR="00B57A2A" w:rsidRPr="00FA5933" w:rsidRDefault="00B57A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</w:t>
      </w:r>
      <w:r w:rsidRPr="00FA5933">
        <w:rPr>
          <w:rFonts w:ascii="Times New Roman" w:hAnsi="Times New Roman"/>
          <w:color w:val="000000"/>
          <w:sz w:val="24"/>
          <w:szCs w:val="24"/>
        </w:rPr>
        <w:t> </w:t>
      </w: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(постмаркетинговые данные):</w:t>
      </w:r>
      <w:r w:rsidRPr="00FA5933">
        <w:rPr>
          <w:rFonts w:ascii="Times New Roman" w:hAnsi="Times New Roman"/>
          <w:color w:val="000000"/>
          <w:sz w:val="24"/>
          <w:szCs w:val="24"/>
        </w:rPr>
        <w:t xml:space="preserve"> периферическая сенсорная нейропатия, периферическая сенсорно-моторная нейропатия (см. раздел «Особые указания»), дискинезия, экстрапирамидные расстройства, агевзия (потеря вкусовых ощущений), </w:t>
      </w:r>
      <w:proofErr w:type="spellStart"/>
      <w:r w:rsidRPr="00FA5933">
        <w:rPr>
          <w:rFonts w:ascii="Times New Roman" w:hAnsi="Times New Roman"/>
          <w:color w:val="000000"/>
          <w:sz w:val="24"/>
          <w:szCs w:val="24"/>
        </w:rPr>
        <w:t>паросмия</w:t>
      </w:r>
      <w:proofErr w:type="spellEnd"/>
      <w:r w:rsidRPr="00FA5933">
        <w:rPr>
          <w:rFonts w:ascii="Times New Roman" w:hAnsi="Times New Roman"/>
          <w:color w:val="000000"/>
          <w:sz w:val="24"/>
          <w:szCs w:val="24"/>
        </w:rPr>
        <w:t xml:space="preserve"> (расстройство ощущения запаха, особенно субъективное ощущение запаха, объективно отсутствующего), включая потерю обоняния; обморок, доброкачественная внутричерепная гипертензия.</w:t>
      </w:r>
    </w:p>
    <w:p w14:paraId="14D85892" w14:textId="77777777" w:rsidR="00FA5933" w:rsidRP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A5933">
        <w:rPr>
          <w:rFonts w:ascii="Times New Roman" w:hAnsi="Times New Roman"/>
          <w:b/>
          <w:i/>
          <w:iCs/>
          <w:color w:val="000000"/>
          <w:sz w:val="24"/>
          <w:szCs w:val="24"/>
        </w:rPr>
        <w:t>Нар</w:t>
      </w:r>
      <w:r w:rsidR="00FA5933" w:rsidRPr="00FA5933">
        <w:rPr>
          <w:rFonts w:ascii="Times New Roman" w:hAnsi="Times New Roman"/>
          <w:b/>
          <w:i/>
          <w:iCs/>
          <w:color w:val="000000"/>
          <w:sz w:val="24"/>
          <w:szCs w:val="24"/>
        </w:rPr>
        <w:t>ушения со стороны органа зрения</w:t>
      </w:r>
    </w:p>
    <w:p w14:paraId="4ACA858C" w14:textId="77777777" w:rsidR="00B57A2A" w:rsidRP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FA593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FA5933">
        <w:rPr>
          <w:rFonts w:ascii="Times New Roman" w:hAnsi="Times New Roman"/>
          <w:color w:val="000000"/>
          <w:sz w:val="24"/>
          <w:szCs w:val="24"/>
        </w:rPr>
        <w:t>нарушения зрения, такие как расплывчатость видимого изображения.</w:t>
      </w:r>
    </w:p>
    <w:p w14:paraId="567221A7" w14:textId="79B8E0E9" w:rsid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5933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данные): </w:t>
      </w:r>
      <w:r w:rsidRPr="00FA5933">
        <w:rPr>
          <w:rFonts w:ascii="Times New Roman" w:hAnsi="Times New Roman"/>
          <w:color w:val="000000"/>
          <w:sz w:val="24"/>
          <w:szCs w:val="24"/>
        </w:rPr>
        <w:t>преходящая потеря зрения, увеит.</w:t>
      </w:r>
    </w:p>
    <w:p w14:paraId="7381DCAE" w14:textId="77777777" w:rsidR="00B57A2A" w:rsidRPr="00FA5933" w:rsidRDefault="00B57A2A" w:rsidP="00FA593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5933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органа слуха и лабиринтные нарушения</w:t>
      </w:r>
    </w:p>
    <w:p w14:paraId="57FBF752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="00FA5933" w:rsidRPr="00EB3D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3D35">
        <w:rPr>
          <w:rFonts w:ascii="Times New Roman" w:hAnsi="Times New Roman"/>
          <w:color w:val="000000"/>
          <w:sz w:val="24"/>
          <w:szCs w:val="24"/>
        </w:rPr>
        <w:t xml:space="preserve">вертиго (чувство отклонения или </w:t>
      </w:r>
      <w:proofErr w:type="gramStart"/>
      <w:r w:rsidRPr="00EB3D35">
        <w:rPr>
          <w:rFonts w:ascii="Times New Roman" w:hAnsi="Times New Roman"/>
          <w:color w:val="000000"/>
          <w:sz w:val="24"/>
          <w:szCs w:val="24"/>
        </w:rPr>
        <w:t>кружения</w:t>
      </w:r>
      <w:proofErr w:type="gramEnd"/>
      <w:r w:rsidRPr="00EB3D35">
        <w:rPr>
          <w:rFonts w:ascii="Times New Roman" w:hAnsi="Times New Roman"/>
          <w:color w:val="000000"/>
          <w:sz w:val="24"/>
          <w:szCs w:val="24"/>
        </w:rPr>
        <w:t xml:space="preserve"> или собственного тела или окружающих предметов).</w:t>
      </w:r>
    </w:p>
    <w:p w14:paraId="784BE538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</w:t>
      </w:r>
      <w:r w:rsidRPr="00EB3D35">
        <w:rPr>
          <w:rFonts w:ascii="Times New Roman" w:hAnsi="Times New Roman"/>
          <w:color w:val="000000"/>
          <w:sz w:val="24"/>
          <w:szCs w:val="24"/>
        </w:rPr>
        <w:t>: звон в ушах.</w:t>
      </w:r>
    </w:p>
    <w:p w14:paraId="12A58CC8" w14:textId="588B7663" w:rsid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данные): </w:t>
      </w:r>
      <w:r w:rsidRPr="00EB3D35">
        <w:rPr>
          <w:rFonts w:ascii="Times New Roman" w:hAnsi="Times New Roman"/>
          <w:color w:val="000000"/>
          <w:sz w:val="24"/>
          <w:szCs w:val="24"/>
        </w:rPr>
        <w:t>снижение слуха, потеря слуха. </w:t>
      </w:r>
    </w:p>
    <w:p w14:paraId="74169CCF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дыхательной системы, органов грудной клетки и средостения </w:t>
      </w:r>
    </w:p>
    <w:p w14:paraId="228AAE55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одышка.</w:t>
      </w:r>
    </w:p>
    <w:p w14:paraId="3D4EB38B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данные): </w:t>
      </w:r>
      <w:r w:rsidRPr="00EB3D35">
        <w:rPr>
          <w:rFonts w:ascii="Times New Roman" w:hAnsi="Times New Roman"/>
          <w:color w:val="000000"/>
          <w:sz w:val="24"/>
          <w:szCs w:val="24"/>
        </w:rPr>
        <w:t>бронхоспазм, аллергический пневмонит.</w:t>
      </w:r>
    </w:p>
    <w:p w14:paraId="0F4AABF9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желудочно-кишечного тракта</w:t>
      </w:r>
    </w:p>
    <w:p w14:paraId="3EB42615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диарея, рвота, тошнота.</w:t>
      </w:r>
    </w:p>
    <w:p w14:paraId="2025B711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боли в животе, диспепсия, метеоризм, запор.</w:t>
      </w:r>
    </w:p>
    <w:p w14:paraId="61ECCCEF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Частота неизвестна (постмаркетинговые данные): </w:t>
      </w:r>
      <w:r w:rsidRPr="00EB3D35">
        <w:rPr>
          <w:rFonts w:ascii="Times New Roman" w:hAnsi="Times New Roman"/>
          <w:color w:val="000000"/>
          <w:sz w:val="24"/>
          <w:szCs w:val="24"/>
        </w:rPr>
        <w:t>геморрагическая диарея, которая в очень редких случаях может быть признаком энтероколита, включая псевдомембранозный колит (см. раздел «Особые указания»), панкреатит.</w:t>
      </w:r>
    </w:p>
    <w:p w14:paraId="547ECAC9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ночек и мочевыводящих путей</w:t>
      </w:r>
    </w:p>
    <w:p w14:paraId="1F365252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повышение концентрации креатинина в сыворотке крови.</w:t>
      </w:r>
    </w:p>
    <w:p w14:paraId="0200CA57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острая почечная недостаточность (например, вследствие развития интерстициального нефрита).</w:t>
      </w:r>
    </w:p>
    <w:p w14:paraId="735F2812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кожи и подкожных тканей</w:t>
      </w:r>
    </w:p>
    <w:p w14:paraId="24912AC9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сыпь, зуд, крапивница, гипергидроз.</w:t>
      </w:r>
    </w:p>
    <w:p w14:paraId="70232F51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данные)</w:t>
      </w:r>
      <w:r w:rsidRPr="00EB3D35">
        <w:rPr>
          <w:rFonts w:ascii="Times New Roman" w:hAnsi="Times New Roman"/>
          <w:color w:val="000000"/>
          <w:sz w:val="24"/>
          <w:szCs w:val="24"/>
        </w:rPr>
        <w:t>: токсический эпидермальный некролиз, синдром Стивенса-Джонсона, экссудативная мног</w:t>
      </w:r>
      <w:r w:rsidR="0080211A">
        <w:rPr>
          <w:rFonts w:ascii="Times New Roman" w:hAnsi="Times New Roman"/>
          <w:color w:val="000000"/>
          <w:sz w:val="24"/>
          <w:szCs w:val="24"/>
        </w:rPr>
        <w:t>оформн</w:t>
      </w:r>
      <w:r w:rsidRPr="00EB3D35">
        <w:rPr>
          <w:rFonts w:ascii="Times New Roman" w:hAnsi="Times New Roman"/>
          <w:color w:val="000000"/>
          <w:sz w:val="24"/>
          <w:szCs w:val="24"/>
        </w:rPr>
        <w:t>ая эритема, реакции фотосенсибилизации (повышенной чувствительности к солнечному и ультрафиолетовому излучению) (см. раздел «Особые указания»), лейкоцитокластический васкулит, стоматит.</w:t>
      </w:r>
    </w:p>
    <w:p w14:paraId="10DB2F83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color w:val="000000"/>
          <w:sz w:val="24"/>
          <w:szCs w:val="24"/>
        </w:rPr>
        <w:t>Реакции со стороны кожи и слизистых оболочек могут иногда развиваться даже после приема первой дозы препарата.</w:t>
      </w:r>
    </w:p>
    <w:p w14:paraId="43BA7C72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скелетно-мышечной системы и соединительной ткани</w:t>
      </w:r>
    </w:p>
    <w:p w14:paraId="644502AB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артралгия, миалгия.</w:t>
      </w:r>
    </w:p>
    <w:p w14:paraId="4684517B" w14:textId="77777777" w:rsidR="00B57A2A" w:rsidRPr="009946C2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поражение</w:t>
      </w:r>
      <w:r w:rsidRPr="009946C2">
        <w:rPr>
          <w:rFonts w:ascii="Times New Roman" w:hAnsi="Times New Roman"/>
          <w:color w:val="000000"/>
          <w:sz w:val="24"/>
          <w:szCs w:val="24"/>
        </w:rPr>
        <w:t xml:space="preserve"> сухожилий, включая тендинит (например, ахиллова сухожилия), мышечная слабость, которая может быть особенно опасна у пациентов с псевдопаралитической миастенией (myasthenia gravis) (см. раздел «Особые указания»).</w:t>
      </w:r>
    </w:p>
    <w:p w14:paraId="5D36C315" w14:textId="681E6EC8" w:rsidR="00B57A2A" w:rsidRPr="009946C2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6C2"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Частота </w:t>
      </w: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неизвестна (</w:t>
      </w:r>
      <w:r w:rsidRPr="009946C2">
        <w:rPr>
          <w:rFonts w:ascii="Times New Roman" w:hAnsi="Times New Roman"/>
          <w:i/>
          <w:iCs/>
          <w:color w:val="000000"/>
          <w:sz w:val="24"/>
          <w:szCs w:val="24"/>
        </w:rPr>
        <w:t>постмаркетинговые данные): </w:t>
      </w:r>
      <w:r w:rsidRPr="009946C2">
        <w:rPr>
          <w:rFonts w:ascii="Times New Roman" w:hAnsi="Times New Roman"/>
          <w:color w:val="000000"/>
          <w:sz w:val="24"/>
          <w:szCs w:val="24"/>
        </w:rPr>
        <w:t>рабдомиолиз, разрыв сухожилия (например, ахиллова сухожилия</w:t>
      </w:r>
      <w:r w:rsidR="00B872F5">
        <w:rPr>
          <w:rFonts w:ascii="Times New Roman" w:hAnsi="Times New Roman"/>
          <w:color w:val="000000"/>
          <w:sz w:val="24"/>
          <w:szCs w:val="24"/>
        </w:rPr>
        <w:t>)</w:t>
      </w:r>
      <w:r w:rsidRPr="009946C2">
        <w:rPr>
          <w:rFonts w:ascii="Times New Roman" w:hAnsi="Times New Roman"/>
          <w:color w:val="000000"/>
          <w:sz w:val="24"/>
          <w:szCs w:val="24"/>
        </w:rPr>
        <w:t>. Этот побочный эффект может наблюдаться в течение 48 ч после начала лечения и может носить двухсторонний характер (см. также раздел «Особые указания»), разрыв связок, разрыв мышц, артрит.</w:t>
      </w:r>
    </w:p>
    <w:p w14:paraId="18E6EFF2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обмена веществ и питания</w:t>
      </w:r>
    </w:p>
    <w:p w14:paraId="6E8FDF4B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анорексия.</w:t>
      </w:r>
    </w:p>
    <w:p w14:paraId="20762BEC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гипогликемия, особенно у пациентов с сахарным диабетом (возможные признаки гипогликемии: «волчий» аппетит, нервозность, испарина, дрожь).</w:t>
      </w:r>
    </w:p>
    <w:p w14:paraId="707FB0F5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Частота неизвестна: </w:t>
      </w:r>
      <w:r w:rsidRPr="00EB3D35">
        <w:rPr>
          <w:rFonts w:ascii="Times New Roman" w:hAnsi="Times New Roman"/>
          <w:color w:val="000000"/>
          <w:sz w:val="24"/>
          <w:szCs w:val="24"/>
        </w:rPr>
        <w:t>гипергликемия, гипогликемическая кома (см. раздел «Особые указания»).</w:t>
      </w:r>
    </w:p>
    <w:p w14:paraId="6DB497FE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Инфекционные и паразитарные заболевания</w:t>
      </w:r>
    </w:p>
    <w:p w14:paraId="4437E82E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грибковые инфекции, развитие резистентности патогенных микроорганизмов.</w:t>
      </w:r>
    </w:p>
    <w:p w14:paraId="2FD2FEC2" w14:textId="77777777" w:rsidR="00B57A2A" w:rsidRPr="00203C59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C59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сосудов</w:t>
      </w:r>
    </w:p>
    <w:p w14:paraId="4C842E58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снижение артериального давления.</w:t>
      </w:r>
    </w:p>
    <w:p w14:paraId="05F2C5F5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Общие расстройства</w:t>
      </w:r>
    </w:p>
    <w:p w14:paraId="4DA0EF44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астения.</w:t>
      </w:r>
    </w:p>
    <w:p w14:paraId="3207E470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пирексия (повышение температуры тела).</w:t>
      </w:r>
    </w:p>
    <w:p w14:paraId="73D36344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боль (включая боль в спине, груди и конечностях).</w:t>
      </w:r>
    </w:p>
    <w:p w14:paraId="0F942BF4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иммунной системы</w:t>
      </w:r>
    </w:p>
    <w:p w14:paraId="4266FA0B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ангионевротический отек.</w:t>
      </w:r>
    </w:p>
    <w:p w14:paraId="4AA2F3FA" w14:textId="77777777" w:rsidR="00156FE9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данные): </w:t>
      </w:r>
      <w:r w:rsidRPr="00EB3D35">
        <w:rPr>
          <w:rFonts w:ascii="Times New Roman" w:hAnsi="Times New Roman"/>
          <w:color w:val="000000"/>
          <w:sz w:val="24"/>
          <w:szCs w:val="24"/>
        </w:rPr>
        <w:t xml:space="preserve">анафилактический шок, анафилактоидный шок. </w:t>
      </w:r>
    </w:p>
    <w:p w14:paraId="03936000" w14:textId="68769BEE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color w:val="000000"/>
          <w:sz w:val="24"/>
          <w:szCs w:val="24"/>
        </w:rPr>
        <w:t>Анафилактические и анафилактоидные реакции могут иногда развиваться даже после приема первой дозы препарата.</w:t>
      </w:r>
    </w:p>
    <w:p w14:paraId="47D697F9" w14:textId="10F69726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со стороны печени и желчевыводящих путей</w:t>
      </w:r>
    </w:p>
    <w:p w14:paraId="0E90F93C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повышение активности «печеночных» ферментов в крови (например, аланинаминотрансферазы (АЛТ), аспартатаминотрансферазы (ACT)), повышение активности щелочной фосфатазы (ЩФ) и гамма-глутамилтрансферазы (ГГТ).</w:t>
      </w:r>
    </w:p>
    <w:p w14:paraId="6AB63B1A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повышение концентрации билирубина в крови.</w:t>
      </w:r>
    </w:p>
    <w:p w14:paraId="6C063926" w14:textId="65E35D3F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</w:t>
      </w:r>
      <w:r w:rsidRPr="00EB3D35">
        <w:rPr>
          <w:rFonts w:ascii="Times New Roman" w:hAnsi="Times New Roman"/>
          <w:bCs/>
          <w:i/>
          <w:iCs/>
          <w:color w:val="000000"/>
          <w:sz w:val="24"/>
          <w:szCs w:val="24"/>
        </w:rPr>
        <w:t>):</w:t>
      </w:r>
      <w:r w:rsidRPr="00EB3D35">
        <w:rPr>
          <w:rFonts w:ascii="Times New Roman" w:hAnsi="Times New Roman"/>
          <w:color w:val="000000"/>
          <w:sz w:val="24"/>
          <w:szCs w:val="24"/>
        </w:rPr>
        <w:t> тяжелая печеночная недостаточность, включая случаи развития острой печеночной не</w:t>
      </w:r>
      <w:r w:rsidR="009E535E">
        <w:rPr>
          <w:rFonts w:ascii="Times New Roman" w:hAnsi="Times New Roman"/>
          <w:color w:val="000000"/>
          <w:sz w:val="24"/>
          <w:szCs w:val="24"/>
        </w:rPr>
        <w:t>достаточности, иногда с фатальны</w:t>
      </w:r>
      <w:r w:rsidRPr="00EB3D35">
        <w:rPr>
          <w:rFonts w:ascii="Times New Roman" w:hAnsi="Times New Roman"/>
          <w:color w:val="000000"/>
          <w:sz w:val="24"/>
          <w:szCs w:val="24"/>
        </w:rPr>
        <w:t>м исходом, особенно у пациентов с тяжелым основным заболеванием (например, у пациентов с сепсисом) (см. раздел «Особые указания»); гепатит, желтуха.</w:t>
      </w:r>
    </w:p>
    <w:p w14:paraId="45CB4570" w14:textId="77777777" w:rsidR="00B57A2A" w:rsidRPr="00203C59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C59">
        <w:rPr>
          <w:rFonts w:ascii="Times New Roman" w:hAnsi="Times New Roman"/>
          <w:b/>
          <w:i/>
          <w:iCs/>
          <w:color w:val="000000"/>
          <w:sz w:val="24"/>
          <w:szCs w:val="24"/>
        </w:rPr>
        <w:t>Нарушения психики</w:t>
      </w:r>
    </w:p>
    <w:p w14:paraId="2233C36A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бессонница.</w:t>
      </w:r>
    </w:p>
    <w:p w14:paraId="36DC784C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Нечасто: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чувство беспокойства, тревога, спутанность сознания.</w:t>
      </w:r>
    </w:p>
    <w:p w14:paraId="42FFDDB1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психические нарушения (например, галлюцинации, паранойя), депрессия, ажитация (возбуждение), нарушения сна, ночные кошмары.</w:t>
      </w:r>
    </w:p>
    <w:p w14:paraId="6CE8A039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Частота неизвестна (постмаркетинговые данные): </w:t>
      </w:r>
      <w:r w:rsidRPr="00EB3D35">
        <w:rPr>
          <w:rFonts w:ascii="Times New Roman" w:hAnsi="Times New Roman"/>
          <w:color w:val="000000"/>
          <w:sz w:val="24"/>
          <w:szCs w:val="24"/>
        </w:rPr>
        <w:t>нарушения психики с нарушениями поведения с причинением себе вреда, включая суицидальные мысли и суицидальные попытки.</w:t>
      </w:r>
    </w:p>
    <w:p w14:paraId="33578B24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Другие возможные нежелательные эффекты</w:t>
      </w:r>
      <w:r w:rsidRPr="00EB3D35">
        <w:rPr>
          <w:rFonts w:ascii="Times New Roman" w:hAnsi="Times New Roman"/>
          <w:b/>
          <w:bCs/>
          <w:i/>
          <w:color w:val="000000"/>
          <w:sz w:val="24"/>
          <w:szCs w:val="24"/>
        </w:rPr>
        <w:t>, </w:t>
      </w:r>
      <w:r w:rsidRPr="00EB3D35">
        <w:rPr>
          <w:rFonts w:ascii="Times New Roman" w:hAnsi="Times New Roman"/>
          <w:b/>
          <w:i/>
          <w:iCs/>
          <w:color w:val="000000"/>
          <w:sz w:val="24"/>
          <w:szCs w:val="24"/>
        </w:rPr>
        <w:t>относящиеся ко всем фторхинолонам</w:t>
      </w:r>
    </w:p>
    <w:p w14:paraId="4081B53A" w14:textId="77777777" w:rsidR="00B57A2A" w:rsidRPr="00EB3D35" w:rsidRDefault="00B57A2A" w:rsidP="00EB3D35">
      <w:pPr>
        <w:widowControl w:val="0"/>
        <w:shd w:val="clear" w:color="auto" w:fill="FFFFFF"/>
        <w:spacing w:after="0" w:line="360" w:lineRule="auto"/>
        <w:jc w:val="both"/>
        <w:rPr>
          <w:rStyle w:val="FontStyle187"/>
          <w:b w:val="0"/>
          <w:bCs w:val="0"/>
          <w:color w:val="000000"/>
          <w:sz w:val="24"/>
          <w:szCs w:val="24"/>
        </w:rPr>
      </w:pPr>
      <w:r w:rsidRPr="00EB3D35">
        <w:rPr>
          <w:rFonts w:ascii="Times New Roman" w:hAnsi="Times New Roman"/>
          <w:i/>
          <w:iCs/>
          <w:color w:val="000000"/>
          <w:sz w:val="24"/>
          <w:szCs w:val="24"/>
        </w:rPr>
        <w:t>Очень редко:</w:t>
      </w:r>
      <w:r w:rsidRPr="00EB3D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B3D35">
        <w:rPr>
          <w:rFonts w:ascii="Times New Roman" w:hAnsi="Times New Roman"/>
          <w:color w:val="000000"/>
          <w:sz w:val="24"/>
          <w:szCs w:val="24"/>
        </w:rPr>
        <w:t>приступы порфирии (очень редкой болезни обмена веществ) у пациентов с порфирией.</w:t>
      </w:r>
    </w:p>
    <w:p w14:paraId="4B12410B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>Передозировка</w:t>
      </w:r>
    </w:p>
    <w:p w14:paraId="16562E12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7A2A">
        <w:rPr>
          <w:rFonts w:ascii="Times New Roman" w:hAnsi="Times New Roman"/>
          <w:b/>
          <w:i/>
          <w:sz w:val="24"/>
          <w:szCs w:val="24"/>
        </w:rPr>
        <w:t>Симптомы передозировки</w:t>
      </w:r>
    </w:p>
    <w:p w14:paraId="033231AC" w14:textId="08EC9337" w:rsidR="00B57A2A" w:rsidRPr="00EB3D35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D35">
        <w:rPr>
          <w:rFonts w:ascii="Times New Roman" w:hAnsi="Times New Roman"/>
          <w:sz w:val="24"/>
          <w:szCs w:val="24"/>
        </w:rPr>
        <w:t>Исходя из данных, полученных в токсикологических исследованиях, проведенных у животных, важнейшими ожидаемыми симптомами острой передозировки левофлоксацином являются симптомы со стороны центральной нервной системы (нарушения сознания, включая спутанность сознания, головокружение и судороги).</w:t>
      </w:r>
    </w:p>
    <w:p w14:paraId="37A851C0" w14:textId="77777777" w:rsidR="00B57A2A" w:rsidRPr="00EB3D35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D35">
        <w:rPr>
          <w:rFonts w:ascii="Times New Roman" w:hAnsi="Times New Roman"/>
          <w:sz w:val="24"/>
          <w:szCs w:val="24"/>
        </w:rPr>
        <w:t>При постмаркетинговом применении препарата при передозировке наблюдались эффекты со стороны центральной нервной системы, включая спутанность сознания, судороги, галлюцинации и тремор.</w:t>
      </w:r>
    </w:p>
    <w:p w14:paraId="4F550A6B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Возможно развитие тошноты и возникновение эрозий слизистой оболочки желудочно-кишечного тракта.</w:t>
      </w:r>
    </w:p>
    <w:p w14:paraId="0C7D8949" w14:textId="77777777" w:rsidR="00B57A2A" w:rsidRPr="00EB3D35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D35">
        <w:rPr>
          <w:rFonts w:ascii="Times New Roman" w:hAnsi="Times New Roman"/>
          <w:sz w:val="24"/>
          <w:szCs w:val="24"/>
        </w:rPr>
        <w:t>В клинико-фармакологических исследованиях, проведенных с дозами левофлоксацина, превышающими терапевтические, наблюдалось удлинение интервала QT.</w:t>
      </w:r>
    </w:p>
    <w:p w14:paraId="470863E6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7A2A">
        <w:rPr>
          <w:rFonts w:ascii="Times New Roman" w:hAnsi="Times New Roman"/>
          <w:b/>
          <w:i/>
          <w:sz w:val="24"/>
          <w:szCs w:val="24"/>
        </w:rPr>
        <w:t>Лечение передозировки</w:t>
      </w:r>
    </w:p>
    <w:p w14:paraId="27ED591B" w14:textId="0CBD5EFB" w:rsidR="00B57A2A" w:rsidRPr="00EB3D35" w:rsidRDefault="00B57A2A" w:rsidP="00EB3D35">
      <w:pPr>
        <w:widowControl w:val="0"/>
        <w:spacing w:after="0" w:line="360" w:lineRule="auto"/>
        <w:jc w:val="both"/>
        <w:rPr>
          <w:rStyle w:val="FontStyle187"/>
          <w:bCs w:val="0"/>
          <w:sz w:val="24"/>
          <w:szCs w:val="24"/>
        </w:rPr>
      </w:pPr>
      <w:r w:rsidRPr="00EB3D35">
        <w:rPr>
          <w:rFonts w:ascii="Times New Roman" w:hAnsi="Times New Roman"/>
          <w:sz w:val="24"/>
          <w:szCs w:val="24"/>
        </w:rPr>
        <w:t>В случае передозировки требуется тщательно</w:t>
      </w:r>
      <w:r w:rsidR="009E535E" w:rsidRPr="009E535E">
        <w:rPr>
          <w:rFonts w:ascii="Times New Roman" w:hAnsi="Times New Roman"/>
          <w:sz w:val="24"/>
          <w:szCs w:val="24"/>
        </w:rPr>
        <w:t>е</w:t>
      </w:r>
      <w:r w:rsidRPr="00EB3D35">
        <w:rPr>
          <w:rFonts w:ascii="Times New Roman" w:hAnsi="Times New Roman"/>
          <w:sz w:val="24"/>
          <w:szCs w:val="24"/>
        </w:rPr>
        <w:t xml:space="preserve"> наблюдение за пациентом, включая мониторирование электрокардиограммы. Лечение симптоматическое. В случае острой передозировки таблеток Леволет</w:t>
      </w:r>
      <w:r w:rsidRPr="00EB3D35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EB3D35">
        <w:rPr>
          <w:rFonts w:ascii="Times New Roman" w:hAnsi="Times New Roman"/>
          <w:sz w:val="24"/>
          <w:szCs w:val="24"/>
        </w:rPr>
        <w:t>Р показано промывание желудка и введение антацидов для защиты слизистой оболочки желудка. Левофлоксацин не выводится посредством диализа (гемодиализа, перитонеального диализа и постоянного амбулаторного перитонеального диализа). Специфического антидота не существует.</w:t>
      </w:r>
    </w:p>
    <w:p w14:paraId="57801F86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Style w:val="FontStyle187"/>
          <w:sz w:val="24"/>
          <w:szCs w:val="24"/>
        </w:rPr>
      </w:pPr>
      <w:r w:rsidRPr="00B57A2A">
        <w:rPr>
          <w:rFonts w:ascii="Times New Roman" w:hAnsi="Times New Roman"/>
          <w:b/>
          <w:sz w:val="24"/>
          <w:szCs w:val="24"/>
        </w:rPr>
        <w:t xml:space="preserve">Взаимодействие с другими </w:t>
      </w:r>
      <w:r w:rsidRPr="00B57A2A">
        <w:rPr>
          <w:rStyle w:val="FontStyle187"/>
          <w:sz w:val="24"/>
          <w:szCs w:val="24"/>
        </w:rPr>
        <w:t>лекарственными средствами</w:t>
      </w:r>
    </w:p>
    <w:p w14:paraId="694632CA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7A2A">
        <w:rPr>
          <w:rFonts w:ascii="Times New Roman" w:hAnsi="Times New Roman"/>
          <w:b/>
          <w:i/>
          <w:sz w:val="24"/>
          <w:szCs w:val="24"/>
        </w:rPr>
        <w:t>Взаимодействия, требующие соблюдения осторожности</w:t>
      </w:r>
    </w:p>
    <w:p w14:paraId="45176ACA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 препаратами, содержащими магний, алюминий, железо и цинк, диданозином</w:t>
      </w:r>
    </w:p>
    <w:p w14:paraId="2E68A771" w14:textId="181171C4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Препараты, содержащие двухвалентные или трёхвалентные катионы, такие как соли цинка или железа (лекарственные препараты для лечения анемии), магний- и/или алюминий-содержащие препараты (такие как антациды), диданозин (только лекарственные формы, содержащие в качестве буфера алюминий или магний), рекомендуется принимать не менее чем за 2 ч до или через 2 ч после приема таблеток Леволет</w:t>
      </w:r>
      <w:r w:rsidRPr="00B57A2A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B57A2A">
        <w:rPr>
          <w:rFonts w:ascii="Times New Roman" w:hAnsi="Times New Roman"/>
          <w:sz w:val="24"/>
          <w:szCs w:val="24"/>
        </w:rPr>
        <w:t>Р.</w:t>
      </w:r>
    </w:p>
    <w:p w14:paraId="7FEC6EA4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Соли кальция оказывают минимальный эффект на абсорбцию левофлоксацина при его приеме внутрь.</w:t>
      </w:r>
    </w:p>
    <w:p w14:paraId="2C5D8C8E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 сукральфатом</w:t>
      </w:r>
    </w:p>
    <w:p w14:paraId="1BE5EA8C" w14:textId="7046315C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Действие препарата Леволет</w:t>
      </w:r>
      <w:r w:rsidRPr="00B57A2A">
        <w:rPr>
          <w:rFonts w:ascii="Times New Roman" w:hAnsi="Times New Roman"/>
          <w:sz w:val="24"/>
          <w:szCs w:val="24"/>
          <w:vertAlign w:val="superscript"/>
        </w:rPr>
        <w:t>®</w:t>
      </w:r>
      <w:r w:rsidR="009D6A87" w:rsidRPr="009D6A87">
        <w:rPr>
          <w:rFonts w:ascii="Times New Roman" w:hAnsi="Times New Roman"/>
          <w:sz w:val="24"/>
          <w:szCs w:val="24"/>
        </w:rPr>
        <w:t xml:space="preserve"> </w:t>
      </w:r>
      <w:r w:rsidRPr="00B57A2A">
        <w:rPr>
          <w:rFonts w:ascii="Times New Roman" w:hAnsi="Times New Roman"/>
          <w:sz w:val="24"/>
          <w:szCs w:val="24"/>
        </w:rPr>
        <w:t>Р значительно ослабляется при одновременном применении сукральфата (средства для защиты слизистой оболочки желудка). Пациентам, получающим левофлоксацин и сукральфат, рекомендуется принимать сукральфат через 2 ч после приема левофлоксацина.</w:t>
      </w:r>
    </w:p>
    <w:p w14:paraId="5E63B0DC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 теофиллином, фенбуфеном или подобными лекарственными средствами из группы нестероидных противовоспалительных препаратов, снижающими порог судорожной готовности головного мозга</w:t>
      </w:r>
    </w:p>
    <w:p w14:paraId="3184C403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Фармакокинетического взаимодействия левофлоксацина с теофиллином не выявлено. Однако при одновременном применении хинолонов и теофиллина, нестероидных противовоспалительных препаратов и других препаратов, снижающих порог судорожной готовности головного мозга, возможно выраженное снижение порога судорожной готовности головного мозга.</w:t>
      </w:r>
    </w:p>
    <w:p w14:paraId="4D6063A2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Концентрация левофлоксацина при одновременном приеме фенбуфена повышается только на 13 %.</w:t>
      </w:r>
    </w:p>
    <w:p w14:paraId="05DB0EB4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 непрямыми антикоагулянтами (антагонисты витамина К)</w:t>
      </w:r>
    </w:p>
    <w:p w14:paraId="3FCFC27E" w14:textId="63C028B9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У пациентов, получавших лечение левофлоксацином в комбинации с непрямыми антикоагулянтами (например, варфарином), наблюдалось повышение протромбинового времени/международного нормализованного отношения и/или развитие кровотечения, в том числе, и тяжелого. Поэтому при одновременном применении непрямых антикоагулянтов и левофлоксацина необходим регулярный контроль показателей свертывания крови.</w:t>
      </w:r>
    </w:p>
    <w:p w14:paraId="206530F8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 пробенецидом и циметидином</w:t>
      </w:r>
    </w:p>
    <w:p w14:paraId="651461B9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При одновременном применении лекарственных препаратов, нарушающих почечную канальцевую секрецию, таких как пробенецид и циметидин, и левофлоксацина, следует соблюдать осторожность, особенно у пациентов с почечной недостаточностью. Выведение (почечный клиренс) левофлоксацина замедляется под действием циметидина на 24 % и пробенецида на 34 %. Маловероятно, что это может иметь клиническое значение при нормальной функции почек.</w:t>
      </w:r>
    </w:p>
    <w:p w14:paraId="59F5E8EC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 циклоспорином</w:t>
      </w:r>
    </w:p>
    <w:p w14:paraId="49F58318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 xml:space="preserve">Левофлоксацин увеличивал </w:t>
      </w:r>
      <w:r w:rsidRPr="0080211A">
        <w:rPr>
          <w:rFonts w:ascii="Times New Roman" w:hAnsi="Times New Roman"/>
          <w:sz w:val="24"/>
          <w:szCs w:val="24"/>
        </w:rPr>
        <w:t>Т</w:t>
      </w:r>
      <w:r w:rsidRPr="0080211A">
        <w:rPr>
          <w:rFonts w:ascii="Times New Roman" w:hAnsi="Times New Roman"/>
          <w:sz w:val="24"/>
          <w:szCs w:val="24"/>
          <w:vertAlign w:val="subscript"/>
        </w:rPr>
        <w:t>1/2</w:t>
      </w:r>
      <w:r w:rsidRPr="00B57A2A">
        <w:rPr>
          <w:rFonts w:ascii="Times New Roman" w:hAnsi="Times New Roman"/>
          <w:sz w:val="24"/>
          <w:szCs w:val="24"/>
        </w:rPr>
        <w:t xml:space="preserve"> циклоспорина на 33 %. Так как это увеличение является клинически незначимым, коррекции дозы циклоспорина при его одновременном применении с левофлоксацином не требуется.</w:t>
      </w:r>
    </w:p>
    <w:p w14:paraId="6AB315FE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 глюкокортикостероидами</w:t>
      </w:r>
    </w:p>
    <w:p w14:paraId="735FAF26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Одновременный прием глюкокортикостероидов повышает риск разрыва сухожилий.</w:t>
      </w:r>
    </w:p>
    <w:p w14:paraId="38CF4B01" w14:textId="77777777" w:rsidR="00B57A2A" w:rsidRPr="00B57A2A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7A2A">
        <w:rPr>
          <w:rFonts w:ascii="Times New Roman" w:hAnsi="Times New Roman"/>
          <w:i/>
          <w:sz w:val="24"/>
          <w:szCs w:val="24"/>
        </w:rPr>
        <w:t>С лекарственными препаратами, удлиняющими интервал QT</w:t>
      </w:r>
    </w:p>
    <w:p w14:paraId="037D2522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>Левофлоксацин, как и другие фторхинолоны, должен применяться с осторожностью у пациентов, получающих препараты, удлиняющие интервал QT (например, антиаритмические средства класса IA и III, трициклические антидепрессанты, макролиды, нейролептики).</w:t>
      </w:r>
    </w:p>
    <w:p w14:paraId="73062C91" w14:textId="77777777" w:rsidR="00B57A2A" w:rsidRPr="00203C59" w:rsidRDefault="00B57A2A" w:rsidP="00EB3D35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3C59">
        <w:rPr>
          <w:rFonts w:ascii="Times New Roman" w:hAnsi="Times New Roman"/>
          <w:i/>
          <w:sz w:val="24"/>
          <w:szCs w:val="24"/>
        </w:rPr>
        <w:t>Прочие</w:t>
      </w:r>
    </w:p>
    <w:p w14:paraId="4EE89EC0" w14:textId="77777777" w:rsidR="00B57A2A" w:rsidRPr="00B57A2A" w:rsidRDefault="00B57A2A" w:rsidP="00EB3D35">
      <w:pPr>
        <w:widowControl w:val="0"/>
        <w:spacing w:after="0" w:line="360" w:lineRule="auto"/>
        <w:ind w:left="227"/>
        <w:jc w:val="both"/>
        <w:rPr>
          <w:rStyle w:val="FontStyle187"/>
          <w:b w:val="0"/>
          <w:bCs w:val="0"/>
          <w:sz w:val="24"/>
          <w:szCs w:val="24"/>
        </w:rPr>
      </w:pPr>
      <w:r w:rsidRPr="00B57A2A">
        <w:rPr>
          <w:rFonts w:ascii="Times New Roman" w:hAnsi="Times New Roman"/>
          <w:sz w:val="24"/>
          <w:szCs w:val="24"/>
        </w:rPr>
        <w:t xml:space="preserve">Проведенные клинико-фармакологические исследования для изучения возможных фармакокинетических взаимодействий левофлоксацина с </w:t>
      </w:r>
      <w:r w:rsidRPr="00B57A2A">
        <w:rPr>
          <w:rFonts w:ascii="Times New Roman" w:hAnsi="Times New Roman"/>
          <w:i/>
          <w:sz w:val="24"/>
          <w:szCs w:val="24"/>
        </w:rPr>
        <w:t xml:space="preserve">дигоксином, глибенкламидом, ранитидином и варфарином </w:t>
      </w:r>
      <w:r w:rsidRPr="00B57A2A">
        <w:rPr>
          <w:rFonts w:ascii="Times New Roman" w:hAnsi="Times New Roman"/>
          <w:sz w:val="24"/>
          <w:szCs w:val="24"/>
        </w:rPr>
        <w:t>показали, что фармакокинетика левофлоксацина при одновременном применении с этими препаратами не изменяется в достаточной степени, чтобы это имело клиническое значение.</w:t>
      </w:r>
    </w:p>
    <w:p w14:paraId="4D1F1121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361E">
        <w:rPr>
          <w:rFonts w:ascii="Times New Roman" w:hAnsi="Times New Roman"/>
          <w:b/>
          <w:sz w:val="24"/>
          <w:szCs w:val="24"/>
        </w:rPr>
        <w:t>Особые указания</w:t>
      </w:r>
    </w:p>
    <w:p w14:paraId="3BE0EF9D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Госпитальные инфекции, вызванные синегнойной палочкой (</w:t>
      </w:r>
      <w:r w:rsidRPr="006A361E">
        <w:rPr>
          <w:rFonts w:ascii="Times New Roman" w:hAnsi="Times New Roman"/>
          <w:i/>
          <w:sz w:val="24"/>
          <w:szCs w:val="24"/>
        </w:rPr>
        <w:t>Pseudomonas aeruginosa</w:t>
      </w:r>
      <w:r w:rsidRPr="006A361E">
        <w:rPr>
          <w:rFonts w:ascii="Times New Roman" w:hAnsi="Times New Roman"/>
          <w:sz w:val="24"/>
          <w:szCs w:val="24"/>
        </w:rPr>
        <w:t>), могут потребовать комбинированного лечения.</w:t>
      </w:r>
    </w:p>
    <w:p w14:paraId="3F551E98" w14:textId="77777777" w:rsid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Распространенность приобретенной резистентности высеваемых штаммов микроорганизмов может изменяться в зависимости от географического региона и с течением времени. В связи с этим требуется информация о резистентности к препарату в конкретной стране. Для терапии тяжелых инфекций или при неэффективности лечения должен быть установлен микробиологический диагноз с выделением возбудителя и определением его чувствительности к левофлоксацину.</w:t>
      </w:r>
    </w:p>
    <w:p w14:paraId="35092ECD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Метициллин-резистентный золотистый стрептококк</w:t>
      </w:r>
    </w:p>
    <w:p w14:paraId="3C554564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Имеется высокая вероятность того, что метициллин-резистентный золотистый стафилококк будет резистентным к фторхинолонам, включая левофлоксацин. Поэтому левофлоксацин не рекомендуется для лечения установленных или предполагаемых инфекций, вызываемых метициллин-резистентным золотистым стафилококком, в случае если лабораторные анализы не подтвердили чувствительности этого микроорганизма к левофлоксацину.</w:t>
      </w:r>
    </w:p>
    <w:p w14:paraId="2E53DBC8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Пациенты, предрасположенные к развитию судорог</w:t>
      </w:r>
    </w:p>
    <w:p w14:paraId="622341F3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Как и другие хинолоны, левофлоксацин должен с большой осторожностью применяться у пациентов с предрасположенностью к судорогам. К таким пациентам относятся пациенты с предшествующими поражениями центральной нервной системы, такими как инсульт, тяжелая черепно-мозговая травма; пациенты, одновременно получающие препараты, снижающие порог судорожной готовности головного мозга, такие как фенбуфен и другие подобные ему нестероидные противовоспалительные препараты или другие препараты, понижающие порог судорожной готовности, такие как теофиллин (см. раздел «Взаимодействие с другими лекарственными средствами»).</w:t>
      </w:r>
    </w:p>
    <w:p w14:paraId="7DA5ED40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Псевдомембранозный колит</w:t>
      </w:r>
    </w:p>
    <w:p w14:paraId="618BB89E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 xml:space="preserve">Развившаяся </w:t>
      </w:r>
      <w:proofErr w:type="gramStart"/>
      <w:r w:rsidRPr="006A361E">
        <w:rPr>
          <w:rFonts w:ascii="Times New Roman" w:hAnsi="Times New Roman"/>
          <w:sz w:val="24"/>
          <w:szCs w:val="24"/>
        </w:rPr>
        <w:t>во время</w:t>
      </w:r>
      <w:proofErr w:type="gramEnd"/>
      <w:r w:rsidRPr="006A361E">
        <w:rPr>
          <w:rFonts w:ascii="Times New Roman" w:hAnsi="Times New Roman"/>
          <w:sz w:val="24"/>
          <w:szCs w:val="24"/>
        </w:rPr>
        <w:t xml:space="preserve"> или после лечения левофлоксацином диарея, особенно тяжелая, упорная и/или с кровью, может быть, симптомом псевдомембранозного колита, вызываемого </w:t>
      </w:r>
      <w:r w:rsidRPr="006A361E">
        <w:rPr>
          <w:rFonts w:ascii="Times New Roman" w:hAnsi="Times New Roman"/>
          <w:i/>
          <w:sz w:val="24"/>
          <w:szCs w:val="24"/>
        </w:rPr>
        <w:t>Clostridium difficile</w:t>
      </w:r>
      <w:r w:rsidRPr="006A361E">
        <w:rPr>
          <w:rFonts w:ascii="Times New Roman" w:hAnsi="Times New Roman"/>
          <w:sz w:val="24"/>
          <w:szCs w:val="24"/>
        </w:rPr>
        <w:t>. В случае подозрения на развитие псевдомембранозного колита лечение левофлоксацином следует немедленно прекратить и сразу же начать специфическую антибиотикотерапию (ванкомицин, тейкопланин или метронидазол внутрь). Препараты, тормозящие перистальтику кишечника, противопоказаны.</w:t>
      </w:r>
    </w:p>
    <w:p w14:paraId="483675B7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Тендинит</w:t>
      </w:r>
    </w:p>
    <w:p w14:paraId="6C4ED208" w14:textId="13BEC872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Редко наблюдаемый тендинит при применении хинолонов, включая левофлоксацин, может приводить к разрыву сухожилий, включая ахиллово сухожилие. Этот побочный эффект может развиться в течение 48 ч после начала лечения и может быть двусторонним. Пациенты пожилого возраста более предрасположены к развитию тендинита. Риск разрыва сухожилий может повышаться при одновременном приеме глюкокортикостероидов. При подозрении на тендинит следует немедленно прекратить лечение препаратом Леволет</w:t>
      </w:r>
      <w:r w:rsidRPr="006A361E">
        <w:rPr>
          <w:rFonts w:ascii="Times New Roman" w:hAnsi="Times New Roman"/>
          <w:sz w:val="24"/>
          <w:szCs w:val="24"/>
          <w:vertAlign w:val="superscript"/>
        </w:rPr>
        <w:t>®</w:t>
      </w:r>
      <w:r w:rsidR="00357D55">
        <w:rPr>
          <w:rFonts w:ascii="Times New Roman" w:hAnsi="Times New Roman"/>
          <w:sz w:val="24"/>
          <w:szCs w:val="24"/>
        </w:rPr>
        <w:t xml:space="preserve"> </w:t>
      </w:r>
      <w:r w:rsidRPr="006A361E">
        <w:rPr>
          <w:rFonts w:ascii="Times New Roman" w:hAnsi="Times New Roman"/>
          <w:sz w:val="24"/>
          <w:szCs w:val="24"/>
        </w:rPr>
        <w:t>Р и начать соответствующее лечение пораженного сухожилия, например, обеспечив ему достаточную иммобилизацию (см. разделы «Противопоказания» и «Побочное действие»).</w:t>
      </w:r>
    </w:p>
    <w:p w14:paraId="26DC73F8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Реакции гиперчувствительности</w:t>
      </w:r>
    </w:p>
    <w:p w14:paraId="7259BCB2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Левофлоксацин может вызывать серьезные, потенциально фатальные, реакции гиперчувствительности (ангионевротический отек, анафилактический шок), даже при применении начальных доз (см. раздел «Побочное действие»). Пациентам следует немедленно прекратить прием препарата и обратиться к врачу.</w:t>
      </w:r>
    </w:p>
    <w:p w14:paraId="77A8DD11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Тяжелые буллезные реакции</w:t>
      </w:r>
    </w:p>
    <w:p w14:paraId="2435BE4D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 xml:space="preserve">При приеме левофлоксацина наблюдались случаи тяжелых буллезных кожных реакций, таких как синдром Стивенса-Джонсона или токсический эпидермальный некролиз </w:t>
      </w:r>
      <w:r w:rsidRPr="006A361E">
        <w:rPr>
          <w:rFonts w:ascii="Times New Roman" w:hAnsi="Times New Roman"/>
          <w:sz w:val="24"/>
          <w:szCs w:val="24"/>
        </w:rPr>
        <w:br/>
        <w:t>(см. раздел «Побочное действие»). В случае развития каких-либо реакций со стороны кожи или слизистых оболочек пациент должен немедленно обратиться к врачу и не продолжать лечения до его консультации.</w:t>
      </w:r>
    </w:p>
    <w:p w14:paraId="3CD263D1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Нарушения со стороны печени и желчевыводящих путей</w:t>
      </w:r>
    </w:p>
    <w:p w14:paraId="6E4C2C94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Сообщалось о случаях развития печеночного некроза, включая развитие фатальной печеночной недостаточности при применении левофлоксацина, главным образом, у пациентов с тяжелыми основными заболеваниями, например, с сепсисом (см. раздел «Побочное действие»). Пациенты должны быть предупреждены о необходимости прекращения лечения и срочного обращения к врачу в случае появления признаков и симптомов поражения печени, таких как анорексия, желтуха, потемнение мочи, зуд и боли в животе.</w:t>
      </w:r>
    </w:p>
    <w:p w14:paraId="7B5719EE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Пациенты с почечной недостаточностью</w:t>
      </w:r>
    </w:p>
    <w:p w14:paraId="578ABC84" w14:textId="77777777" w:rsidR="00B57A2A" w:rsidRPr="006A361E" w:rsidRDefault="006A361E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 w:rsidR="00B57A2A" w:rsidRPr="006A361E">
        <w:rPr>
          <w:rFonts w:ascii="Times New Roman" w:hAnsi="Times New Roman"/>
          <w:sz w:val="24"/>
          <w:szCs w:val="24"/>
        </w:rPr>
        <w:t>левофлоксацин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B57A2A" w:rsidRPr="006A361E">
        <w:rPr>
          <w:rFonts w:ascii="Times New Roman" w:hAnsi="Times New Roman"/>
          <w:sz w:val="24"/>
          <w:szCs w:val="24"/>
        </w:rPr>
        <w:t>экскретируется, главным образом, через почки, у пациентов с нарушением функции почек требуется обязательный контроль функции почек,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B57A2A" w:rsidRPr="006A361E">
        <w:rPr>
          <w:rFonts w:ascii="Times New Roman" w:hAnsi="Times New Roman"/>
          <w:sz w:val="24"/>
          <w:szCs w:val="24"/>
        </w:rPr>
        <w:t>также коррекция режима дозирования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57A2A" w:rsidRPr="006A361E">
        <w:rPr>
          <w:rFonts w:ascii="Times New Roman" w:hAnsi="Times New Roman"/>
          <w:sz w:val="24"/>
          <w:szCs w:val="24"/>
        </w:rPr>
        <w:t>(см. раздел «Способ применения и дозы»). При лечении пациентов пожилого возраста следует иметь в виду, что у пациентов этой группы часто отмечаются нарушения функции почек (см. раздел «Способ применения и дозы»).</w:t>
      </w:r>
    </w:p>
    <w:p w14:paraId="006EF3F1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Предотвращение развития реакций фотосенсибилизации</w:t>
      </w:r>
    </w:p>
    <w:p w14:paraId="3B910BD0" w14:textId="19DF47A4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 xml:space="preserve">Хотя фотосенсибилизация при применении левофлоксацина развивается очень редко, для предотвращения ее развития пациентам не рекомендуется во время лечения и в течение </w:t>
      </w:r>
      <w:r w:rsidR="004D61C4">
        <w:rPr>
          <w:rFonts w:ascii="Times New Roman" w:hAnsi="Times New Roman"/>
          <w:sz w:val="24"/>
          <w:szCs w:val="24"/>
        </w:rPr>
        <w:t xml:space="preserve">     </w:t>
      </w:r>
      <w:r w:rsidRPr="006A361E">
        <w:rPr>
          <w:rFonts w:ascii="Times New Roman" w:hAnsi="Times New Roman"/>
          <w:sz w:val="24"/>
          <w:szCs w:val="24"/>
        </w:rPr>
        <w:t>48 ч после окончания лечения левофлоксацином подвергаться без особой необходимости сильному солнечному или искусственному ультрафиолетовому облучению (например, посещать солярий).</w:t>
      </w:r>
    </w:p>
    <w:p w14:paraId="467F0B4C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Суперинфекция</w:t>
      </w:r>
    </w:p>
    <w:p w14:paraId="12E134A9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Как и при применении других антибиотиков, применение левофлоксацина, особенно в течение длительного времени, может приводить к усиленному размножению нечувствительных к нему микроорганизмов (бактерий и грибов), что может вызывать изменения микрофлоры, которая в норме присутствует у человека. В результате может развиться суперинфекция. Поэтому в ходе лечения обязательно проводить повторную оценку состояния пациента, и, в случае развития во время лечения суперинфекции, следует принимать соответствующие меры.</w:t>
      </w:r>
    </w:p>
    <w:p w14:paraId="64ADE6E6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Удлинение интервала QT</w:t>
      </w:r>
    </w:p>
    <w:p w14:paraId="7E7FE589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Сообщалось об очень редких случаях удлинения интервала QT у пациентов, принимающих фторхинолоны, включая левофлоксацин.</w:t>
      </w:r>
    </w:p>
    <w:p w14:paraId="0B95ACC3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При применении фторхинолонов, включая левофлоксацин, следует соблюдать осторожность у пациентов с известными факторами риска удлинения интервала QT: у пациентов с нескорректированными электролитными нарушениями (с гипокалиемией, гипомагниемией); с синдромом врождённого удлинения интервала QT; с заболеваниями сердца (сердечная недостаточность, инфаркт миокарда, брадикардия); при одновременном приеме лекарственных препаратов, способных удлинять интервал QT, таких как антиаритмические средства класса IA</w:t>
      </w:r>
      <w:r w:rsidR="0080211A">
        <w:rPr>
          <w:rFonts w:ascii="Times New Roman" w:hAnsi="Times New Roman"/>
          <w:sz w:val="24"/>
          <w:szCs w:val="24"/>
        </w:rPr>
        <w:t xml:space="preserve"> </w:t>
      </w:r>
      <w:r w:rsidRPr="006A361E">
        <w:rPr>
          <w:rFonts w:ascii="Times New Roman" w:hAnsi="Times New Roman"/>
          <w:sz w:val="24"/>
          <w:szCs w:val="24"/>
        </w:rPr>
        <w:t>и III, трициклические антидепрессанты, макролиды, нейролептики.</w:t>
      </w:r>
    </w:p>
    <w:p w14:paraId="08116F36" w14:textId="1C53DB6A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 xml:space="preserve">Пациенты пожилого возраста и пациенты женского пола могут быть более чувствительными к препаратам, удлиняющим интервал QT. Поэтому следует с осторожностью применять у них фторхинолоны, включая левофлоксацин </w:t>
      </w:r>
      <w:r w:rsidRPr="006A361E">
        <w:rPr>
          <w:rFonts w:ascii="Times New Roman" w:hAnsi="Times New Roman"/>
          <w:sz w:val="24"/>
          <w:szCs w:val="24"/>
        </w:rPr>
        <w:br/>
        <w:t>(см. разделы «С осторожностью», «Способ применения и дозы», «Побочное действие»</w:t>
      </w:r>
      <w:r w:rsidR="004D61C4">
        <w:rPr>
          <w:rFonts w:ascii="Times New Roman" w:hAnsi="Times New Roman"/>
          <w:sz w:val="24"/>
          <w:szCs w:val="24"/>
        </w:rPr>
        <w:t>,</w:t>
      </w:r>
      <w:r w:rsidRPr="006A361E">
        <w:rPr>
          <w:rFonts w:ascii="Times New Roman" w:hAnsi="Times New Roman"/>
          <w:sz w:val="24"/>
          <w:szCs w:val="24"/>
        </w:rPr>
        <w:t xml:space="preserve"> «Передозировка»</w:t>
      </w:r>
      <w:r w:rsidR="004D61C4">
        <w:rPr>
          <w:rFonts w:ascii="Times New Roman" w:hAnsi="Times New Roman"/>
          <w:sz w:val="24"/>
          <w:szCs w:val="24"/>
        </w:rPr>
        <w:t xml:space="preserve"> и </w:t>
      </w:r>
      <w:r w:rsidRPr="006A361E">
        <w:rPr>
          <w:rFonts w:ascii="Times New Roman" w:hAnsi="Times New Roman"/>
          <w:sz w:val="24"/>
          <w:szCs w:val="24"/>
        </w:rPr>
        <w:t>«Взаимодействие с другими лекарственными средствами»).</w:t>
      </w:r>
    </w:p>
    <w:p w14:paraId="1FE43134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Пациенты с дефицитом глюкозо-6-фосфатдегидрогеназы</w:t>
      </w:r>
    </w:p>
    <w:p w14:paraId="10404F6A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У пациентов с латентным или манифестированным дефицитом глюкозо-6-фосфатдегидрогеназы имеется предрасположенность к гемолитическим реакциям при лечении хинолонами, что следует принимать во внимание при лечении левофлоксацином.</w:t>
      </w:r>
    </w:p>
    <w:p w14:paraId="0E335FD7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Гипо- и гипергликемия (дисгликемия)</w:t>
      </w:r>
    </w:p>
    <w:p w14:paraId="63F075C6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Как и при применении других хинолонов, при применении левофлоксацина наблюдались случаи развития гипергликемии и гипогликемии, обычно у пациентов с сахарным диабетом, получающих одновременно лечение пероральными гипогликемическими препаратами (например, глибенкламидом) или препаратами инсулина. Сообщалось о случаях развития гипогликемической комы. У пациентов с сахарным диабетом требуется мониторинг концентрации глюкозы в крови (см. раздел «Побочное действие»).</w:t>
      </w:r>
    </w:p>
    <w:p w14:paraId="1AE30F63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Периферическая нейропатия</w:t>
      </w:r>
    </w:p>
    <w:p w14:paraId="13D2165E" w14:textId="77777777" w:rsidR="006A361E" w:rsidRDefault="00B57A2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У пациентов, принимающих фторхинолоны, включая левофлоксацин, отмечалась сенсорная и сенсорно-моторная периферическая нейропатия, начало которой может быть быстрым. Если у пациента появляются симптомы нейропатии, применение левофлоксацина должно быть прекращено. Это минимизирует возможный риск развития необратимых изменений.</w:t>
      </w:r>
    </w:p>
    <w:p w14:paraId="058D4CC5" w14:textId="77777777" w:rsidR="00B57A2A" w:rsidRPr="006A361E" w:rsidRDefault="00B57A2A" w:rsidP="00B9267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Обострение псевдопаралитической миастении (myasthenia gravis)</w:t>
      </w:r>
    </w:p>
    <w:p w14:paraId="18C6D80B" w14:textId="3909132A" w:rsidR="00B57A2A" w:rsidRPr="006A361E" w:rsidRDefault="00B57A2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Фторхинолоны, включая левофлоксацин, характеризуются блокирующей нервно- мышечное проведение активностью и могут усиливать мышечную слабость у пациентов с псевдопаралитической миастенией. В постмаркетинговом периоде наблюдались неблагоприятные реакции, включая легочную недостаточность, потребовавшую проведение искусственной вентиляции легких, и смертельный исход, которые ассоциировались с применением фторхинолонов у пациентов с псевдопаралитической миастенией. Применение левофлоксацина у пациент</w:t>
      </w:r>
      <w:r w:rsidR="004D61C4">
        <w:rPr>
          <w:rFonts w:ascii="Times New Roman" w:hAnsi="Times New Roman"/>
          <w:sz w:val="24"/>
          <w:szCs w:val="24"/>
        </w:rPr>
        <w:t>ов</w:t>
      </w:r>
      <w:r w:rsidRPr="006A361E">
        <w:rPr>
          <w:rFonts w:ascii="Times New Roman" w:hAnsi="Times New Roman"/>
          <w:sz w:val="24"/>
          <w:szCs w:val="24"/>
        </w:rPr>
        <w:t xml:space="preserve"> с установленным диагнозом псевдопаралитической миастении не рекомендуется (см. раздел «Побочное действие»).</w:t>
      </w:r>
    </w:p>
    <w:p w14:paraId="1F5AD37F" w14:textId="77777777" w:rsidR="00B57A2A" w:rsidRPr="00B92674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674">
        <w:rPr>
          <w:rFonts w:ascii="Times New Roman" w:hAnsi="Times New Roman"/>
          <w:b/>
          <w:i/>
          <w:sz w:val="24"/>
          <w:szCs w:val="24"/>
        </w:rPr>
        <w:t>Применение при воздушно-капельном пути заражения сибирской язвой</w:t>
      </w:r>
    </w:p>
    <w:p w14:paraId="7A707D22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 xml:space="preserve">Применение левофлоксацина у человека по этому показанию основано на данных по чувствительности к нему </w:t>
      </w:r>
      <w:r w:rsidRPr="006A361E">
        <w:rPr>
          <w:rFonts w:ascii="Times New Roman" w:hAnsi="Times New Roman"/>
          <w:i/>
          <w:sz w:val="24"/>
          <w:szCs w:val="24"/>
        </w:rPr>
        <w:t>Bacillus anthracis</w:t>
      </w:r>
      <w:r w:rsidRPr="006A361E">
        <w:rPr>
          <w:rFonts w:ascii="Times New Roman" w:hAnsi="Times New Roman"/>
          <w:sz w:val="24"/>
          <w:szCs w:val="24"/>
        </w:rPr>
        <w:t>, полученных в исследованиях </w:t>
      </w:r>
      <w:r w:rsidRPr="00B92674">
        <w:rPr>
          <w:rFonts w:ascii="Times New Roman" w:hAnsi="Times New Roman"/>
          <w:i/>
          <w:sz w:val="24"/>
          <w:szCs w:val="24"/>
        </w:rPr>
        <w:t>in vitro</w:t>
      </w:r>
      <w:r w:rsidRPr="006A361E">
        <w:rPr>
          <w:rFonts w:ascii="Times New Roman" w:hAnsi="Times New Roman"/>
          <w:sz w:val="24"/>
          <w:szCs w:val="24"/>
        </w:rPr>
        <w:t> и в экспериментальных исследованиях, проведенных на животных, а также на ограниченных данных применения левофлоксацина у человека. Лечащие врачи должны обращаться к национальным и/или международным документам, которые отражают выработанную общими усилиями точку зрения по лечению сибирской язвы.</w:t>
      </w:r>
    </w:p>
    <w:p w14:paraId="487D84ED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Психотические реакции</w:t>
      </w:r>
    </w:p>
    <w:p w14:paraId="12615071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При применении хинолонов, включая левофлоксацин, сообщалось о развитии психотических реакций, которые в очень редких случаях прогрессировали до развития суицидальных мыслей и нарушений поведения с причинением себе вреда (иногда после приема разовой дозы левофлоксацина (см. раздел «Побочное действие»)). При развитии таких реакций лечение левофлоксацином следует прекратить и назначить соответствующую терапию. Следует с осторожностью назначать препарат пациентам с психозами или пациентам, имеющим в анамнезе психические заболевания.</w:t>
      </w:r>
    </w:p>
    <w:p w14:paraId="3A57B872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Нарушения зрения</w:t>
      </w:r>
    </w:p>
    <w:p w14:paraId="524BCC7F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При развитии любых нарушений зрения необходима немедленная консультация офтальмолога (см. раздел «Побочное действие»).</w:t>
      </w:r>
    </w:p>
    <w:p w14:paraId="40F1113C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61E">
        <w:rPr>
          <w:rFonts w:ascii="Times New Roman" w:hAnsi="Times New Roman"/>
          <w:b/>
          <w:i/>
          <w:sz w:val="24"/>
          <w:szCs w:val="24"/>
        </w:rPr>
        <w:t>Влияние на лабораторные тесты</w:t>
      </w:r>
    </w:p>
    <w:p w14:paraId="7B2EF041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>У пациентов, принимающих левофлоксацин, определение опиатов в моче может приводить к ложноположительным результатам, которые следует подтверждать более специфическими методами.</w:t>
      </w:r>
    </w:p>
    <w:p w14:paraId="52C3D610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Style w:val="FontStyle187"/>
          <w:b w:val="0"/>
          <w:sz w:val="24"/>
          <w:szCs w:val="24"/>
        </w:rPr>
      </w:pPr>
      <w:r w:rsidRPr="006A361E">
        <w:rPr>
          <w:rFonts w:ascii="Times New Roman" w:hAnsi="Times New Roman"/>
          <w:sz w:val="24"/>
          <w:szCs w:val="24"/>
        </w:rPr>
        <w:t xml:space="preserve">Левофлоксацин может ингибировать рост </w:t>
      </w:r>
      <w:r w:rsidRPr="006A361E">
        <w:rPr>
          <w:rFonts w:ascii="Times New Roman" w:hAnsi="Times New Roman"/>
          <w:i/>
          <w:sz w:val="24"/>
          <w:szCs w:val="24"/>
        </w:rPr>
        <w:t>Mycobacterium tuberculosis</w:t>
      </w:r>
      <w:r w:rsidRPr="006A361E">
        <w:rPr>
          <w:rFonts w:ascii="Times New Roman" w:hAnsi="Times New Roman"/>
          <w:sz w:val="24"/>
          <w:szCs w:val="24"/>
        </w:rPr>
        <w:t xml:space="preserve"> и приводить в дальнейшем к ложноотрицательным результатам бактериологического диагноза туберкулеза.</w:t>
      </w:r>
    </w:p>
    <w:p w14:paraId="6F01335F" w14:textId="77777777" w:rsidR="00B57A2A" w:rsidRPr="006A361E" w:rsidRDefault="00B57A2A" w:rsidP="006A361E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361E">
        <w:rPr>
          <w:rFonts w:ascii="Times New Roman" w:hAnsi="Times New Roman"/>
          <w:b/>
          <w:sz w:val="24"/>
          <w:szCs w:val="24"/>
        </w:rPr>
        <w:t>Влияние на способность управлять транспортными средствами</w:t>
      </w:r>
      <w:r w:rsidR="00BC48D3">
        <w:rPr>
          <w:rFonts w:ascii="Times New Roman" w:hAnsi="Times New Roman"/>
          <w:b/>
          <w:sz w:val="24"/>
          <w:szCs w:val="24"/>
        </w:rPr>
        <w:t xml:space="preserve"> или заниматься другими потенциально опасными видами деятельности</w:t>
      </w:r>
    </w:p>
    <w:p w14:paraId="1C1CAC30" w14:textId="6C18F012" w:rsidR="00B57A2A" w:rsidRPr="00B57A2A" w:rsidRDefault="00B57A2A" w:rsidP="006A361E">
      <w:pPr>
        <w:widowControl w:val="0"/>
        <w:spacing w:after="0" w:line="360" w:lineRule="auto"/>
        <w:jc w:val="both"/>
        <w:rPr>
          <w:rStyle w:val="FontStyle187"/>
          <w:b w:val="0"/>
          <w:bCs w:val="0"/>
          <w:sz w:val="24"/>
          <w:szCs w:val="24"/>
        </w:rPr>
      </w:pPr>
      <w:r w:rsidRPr="006A3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Такие побочные эффекты препарата Леволет</w:t>
      </w:r>
      <w:r w:rsidRPr="006A361E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®</w:t>
      </w:r>
      <w:r w:rsidR="00357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Р, как головокружение или вертиго, сонливость и расстройства </w:t>
      </w:r>
      <w:r w:rsidRPr="00BC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зрения (см. раздел «Побочное действие»), могут</w:t>
      </w:r>
      <w:r w:rsidRPr="00B57A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снижать психомоторные реакции и способность к концентрации внимания. Это может представлять собой определенный риск в ситуациях, когда эти способности имеют особое значение (например, при управлении автомобилем, при обслуживании машин и механизмов, при выполнении работ в неустойчивом положении).</w:t>
      </w:r>
    </w:p>
    <w:p w14:paraId="13067DD7" w14:textId="77777777" w:rsidR="00A61369" w:rsidRPr="00B57A2A" w:rsidRDefault="00A61369" w:rsidP="00B57A2A">
      <w:pPr>
        <w:pStyle w:val="Style9"/>
        <w:spacing w:line="360" w:lineRule="auto"/>
        <w:jc w:val="both"/>
        <w:rPr>
          <w:rStyle w:val="FontStyle187"/>
          <w:sz w:val="24"/>
          <w:szCs w:val="24"/>
        </w:rPr>
      </w:pPr>
      <w:r w:rsidRPr="00B57A2A">
        <w:rPr>
          <w:rStyle w:val="FontStyle187"/>
          <w:sz w:val="24"/>
          <w:szCs w:val="24"/>
        </w:rPr>
        <w:t>Форма выпуска</w:t>
      </w:r>
    </w:p>
    <w:p w14:paraId="7B1650C2" w14:textId="77777777" w:rsidR="005068A0" w:rsidRPr="00B57A2A" w:rsidRDefault="00A61369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0"/>
          <w:sz w:val="24"/>
          <w:szCs w:val="24"/>
        </w:rPr>
        <w:t xml:space="preserve">Таблетки, покрытые пленочной оболочкой, 250 мг или 500 мг. </w:t>
      </w:r>
    </w:p>
    <w:p w14:paraId="22251066" w14:textId="77777777" w:rsidR="005068A0" w:rsidRPr="00B57A2A" w:rsidRDefault="00A61369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0"/>
          <w:sz w:val="24"/>
          <w:szCs w:val="24"/>
        </w:rPr>
        <w:t xml:space="preserve">По 10 таблеток в ПВХ/алюминиевом блистере. </w:t>
      </w:r>
    </w:p>
    <w:p w14:paraId="02F2DE84" w14:textId="77777777" w:rsidR="005068A0" w:rsidRPr="00B57A2A" w:rsidRDefault="00A61369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0"/>
          <w:sz w:val="24"/>
          <w:szCs w:val="24"/>
        </w:rPr>
        <w:t>По 1 блистеру вместе с инструкцией по применению упакованы в пачку картонную.</w:t>
      </w:r>
    </w:p>
    <w:p w14:paraId="3A4F300A" w14:textId="77777777" w:rsidR="00A61369" w:rsidRPr="00B57A2A" w:rsidRDefault="00A61369" w:rsidP="00B57A2A">
      <w:pPr>
        <w:pStyle w:val="Style22"/>
        <w:spacing w:line="360" w:lineRule="auto"/>
        <w:jc w:val="both"/>
        <w:rPr>
          <w:rStyle w:val="FontStyle187"/>
          <w:sz w:val="24"/>
          <w:szCs w:val="24"/>
        </w:rPr>
      </w:pPr>
      <w:r w:rsidRPr="00B57A2A">
        <w:rPr>
          <w:rStyle w:val="FontStyle187"/>
          <w:sz w:val="24"/>
          <w:szCs w:val="24"/>
        </w:rPr>
        <w:t>Условия хранения</w:t>
      </w:r>
    </w:p>
    <w:p w14:paraId="0AF2D16C" w14:textId="77777777" w:rsidR="005068A0" w:rsidRPr="00B57A2A" w:rsidRDefault="00AC6B83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0"/>
          <w:sz w:val="24"/>
          <w:szCs w:val="24"/>
        </w:rPr>
        <w:t>П</w:t>
      </w:r>
      <w:r w:rsidR="003B5550" w:rsidRPr="00B57A2A">
        <w:rPr>
          <w:rStyle w:val="FontStyle190"/>
          <w:sz w:val="24"/>
          <w:szCs w:val="24"/>
        </w:rPr>
        <w:t>ри температуре не выше 25 °С.</w:t>
      </w:r>
    </w:p>
    <w:p w14:paraId="2058C1ED" w14:textId="77777777" w:rsidR="00A61369" w:rsidRPr="00B57A2A" w:rsidRDefault="00A61369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0"/>
          <w:sz w:val="24"/>
          <w:szCs w:val="24"/>
        </w:rPr>
        <w:t>Хранить в недоступном для детей месте!</w:t>
      </w:r>
    </w:p>
    <w:p w14:paraId="08146297" w14:textId="77777777" w:rsidR="00A61369" w:rsidRPr="00B57A2A" w:rsidRDefault="00A61369" w:rsidP="00B57A2A">
      <w:pPr>
        <w:pStyle w:val="Style13"/>
        <w:spacing w:line="360" w:lineRule="auto"/>
        <w:jc w:val="both"/>
        <w:rPr>
          <w:rStyle w:val="FontStyle187"/>
          <w:sz w:val="24"/>
          <w:szCs w:val="24"/>
        </w:rPr>
      </w:pPr>
      <w:r w:rsidRPr="00B57A2A">
        <w:rPr>
          <w:rStyle w:val="FontStyle187"/>
          <w:sz w:val="24"/>
          <w:szCs w:val="24"/>
        </w:rPr>
        <w:t>Срок годности</w:t>
      </w:r>
    </w:p>
    <w:p w14:paraId="1116E4E5" w14:textId="77777777" w:rsidR="00A61369" w:rsidRPr="00B57A2A" w:rsidRDefault="003B5550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92674">
        <w:rPr>
          <w:rStyle w:val="FontStyle190"/>
          <w:sz w:val="24"/>
          <w:szCs w:val="24"/>
        </w:rPr>
        <w:t>3</w:t>
      </w:r>
      <w:r w:rsidR="00A61369" w:rsidRPr="00B57A2A">
        <w:rPr>
          <w:rStyle w:val="FontStyle190"/>
          <w:sz w:val="24"/>
          <w:szCs w:val="24"/>
        </w:rPr>
        <w:t xml:space="preserve"> года.</w:t>
      </w:r>
    </w:p>
    <w:p w14:paraId="3657D4D9" w14:textId="40D95183" w:rsidR="00A61369" w:rsidRPr="00B57A2A" w:rsidRDefault="00A61369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0"/>
          <w:sz w:val="24"/>
          <w:szCs w:val="24"/>
        </w:rPr>
        <w:t xml:space="preserve">Не </w:t>
      </w:r>
      <w:r w:rsidR="00357D55">
        <w:rPr>
          <w:rStyle w:val="FontStyle190"/>
          <w:sz w:val="24"/>
          <w:szCs w:val="24"/>
        </w:rPr>
        <w:t>применять</w:t>
      </w:r>
      <w:r w:rsidRPr="00B57A2A">
        <w:rPr>
          <w:rStyle w:val="FontStyle190"/>
          <w:sz w:val="24"/>
          <w:szCs w:val="24"/>
        </w:rPr>
        <w:t xml:space="preserve"> после истечения срока годности, указанного на упаковке.</w:t>
      </w:r>
    </w:p>
    <w:p w14:paraId="628D5063" w14:textId="77777777" w:rsidR="00A61369" w:rsidRPr="00B57A2A" w:rsidRDefault="00A61369" w:rsidP="00B57A2A">
      <w:pPr>
        <w:pStyle w:val="Style13"/>
        <w:spacing w:line="360" w:lineRule="auto"/>
        <w:jc w:val="both"/>
        <w:rPr>
          <w:rStyle w:val="FontStyle187"/>
          <w:sz w:val="24"/>
          <w:szCs w:val="24"/>
        </w:rPr>
      </w:pPr>
      <w:r w:rsidRPr="00B57A2A">
        <w:rPr>
          <w:rStyle w:val="FontStyle187"/>
          <w:sz w:val="24"/>
          <w:szCs w:val="24"/>
        </w:rPr>
        <w:t>Условия отпуска</w:t>
      </w:r>
    </w:p>
    <w:p w14:paraId="6251D1B6" w14:textId="77777777" w:rsidR="00A61369" w:rsidRPr="00B57A2A" w:rsidRDefault="00A61369" w:rsidP="00B57A2A">
      <w:pPr>
        <w:pStyle w:val="Style22"/>
        <w:spacing w:line="360" w:lineRule="auto"/>
        <w:jc w:val="both"/>
        <w:rPr>
          <w:rStyle w:val="FontStyle190"/>
          <w:sz w:val="24"/>
          <w:szCs w:val="24"/>
        </w:rPr>
      </w:pPr>
      <w:r w:rsidRPr="00B57A2A">
        <w:rPr>
          <w:rStyle w:val="FontStyle190"/>
          <w:sz w:val="24"/>
          <w:szCs w:val="24"/>
        </w:rPr>
        <w:t>По рецепту.</w:t>
      </w:r>
    </w:p>
    <w:p w14:paraId="77E71499" w14:textId="77777777" w:rsidR="006B6ECB" w:rsidRPr="00B57A2A" w:rsidRDefault="006B6ECB" w:rsidP="00B57A2A">
      <w:pPr>
        <w:pStyle w:val="Style22"/>
        <w:spacing w:line="360" w:lineRule="auto"/>
        <w:jc w:val="both"/>
        <w:rPr>
          <w:b/>
        </w:rPr>
      </w:pPr>
      <w:r w:rsidRPr="00B57A2A">
        <w:rPr>
          <w:b/>
        </w:rPr>
        <w:t>Производитель</w:t>
      </w:r>
    </w:p>
    <w:p w14:paraId="770E177B" w14:textId="77777777" w:rsidR="006B6ECB" w:rsidRPr="00B57A2A" w:rsidRDefault="006B6ECB" w:rsidP="00B57A2A">
      <w:pPr>
        <w:pStyle w:val="Style22"/>
        <w:spacing w:line="360" w:lineRule="auto"/>
        <w:jc w:val="both"/>
      </w:pPr>
      <w:r w:rsidRPr="00B57A2A">
        <w:t xml:space="preserve">Д-р Редди’с Лабораторис </w:t>
      </w:r>
      <w:proofErr w:type="gramStart"/>
      <w:r w:rsidRPr="00B57A2A">
        <w:t>Лтд.,</w:t>
      </w:r>
      <w:proofErr w:type="gramEnd"/>
      <w:r w:rsidRPr="00B57A2A">
        <w:t xml:space="preserve"> Индия</w:t>
      </w:r>
    </w:p>
    <w:p w14:paraId="72A7CB15" w14:textId="77777777" w:rsidR="006B6ECB" w:rsidRPr="00B57A2A" w:rsidRDefault="006B6ECB" w:rsidP="00B57A2A">
      <w:pPr>
        <w:pStyle w:val="Style22"/>
        <w:spacing w:line="360" w:lineRule="auto"/>
        <w:jc w:val="both"/>
        <w:rPr>
          <w:lang w:val="en-US"/>
        </w:rPr>
      </w:pPr>
      <w:r w:rsidRPr="00B57A2A">
        <w:rPr>
          <w:lang w:val="en-US"/>
        </w:rPr>
        <w:t>Dr. Reddy´s Laboratories Ltd., India</w:t>
      </w:r>
    </w:p>
    <w:p w14:paraId="2A26D925" w14:textId="77777777" w:rsidR="006B6ECB" w:rsidRPr="00B57A2A" w:rsidRDefault="006B6ECB" w:rsidP="00B57A2A">
      <w:pPr>
        <w:pStyle w:val="Style22"/>
        <w:spacing w:line="360" w:lineRule="auto"/>
        <w:jc w:val="both"/>
        <w:rPr>
          <w:b/>
          <w:lang w:val="en-US"/>
        </w:rPr>
      </w:pPr>
      <w:r w:rsidRPr="00B57A2A">
        <w:rPr>
          <w:b/>
        </w:rPr>
        <w:t>Адрес</w:t>
      </w:r>
      <w:r w:rsidRPr="00B57A2A">
        <w:rPr>
          <w:b/>
          <w:lang w:val="en-US"/>
        </w:rPr>
        <w:t xml:space="preserve"> </w:t>
      </w:r>
      <w:r w:rsidRPr="00B57A2A">
        <w:rPr>
          <w:b/>
        </w:rPr>
        <w:t>места</w:t>
      </w:r>
      <w:r w:rsidRPr="00B57A2A">
        <w:rPr>
          <w:b/>
          <w:lang w:val="en-US"/>
        </w:rPr>
        <w:t xml:space="preserve"> </w:t>
      </w:r>
      <w:r w:rsidRPr="00B57A2A">
        <w:rPr>
          <w:b/>
        </w:rPr>
        <w:t>производства</w:t>
      </w:r>
    </w:p>
    <w:p w14:paraId="44655120" w14:textId="758AEE46" w:rsidR="00F96E7F" w:rsidRPr="00F96E7F" w:rsidRDefault="00F96E7F" w:rsidP="00B57A2A">
      <w:pPr>
        <w:pStyle w:val="Style22"/>
        <w:spacing w:line="360" w:lineRule="auto"/>
        <w:jc w:val="both"/>
        <w:rPr>
          <w:lang w:val="en-US"/>
        </w:rPr>
      </w:pPr>
      <w:r w:rsidRPr="00F96E7F">
        <w:rPr>
          <w:lang w:val="en-US"/>
        </w:rPr>
        <w:t xml:space="preserve">Formulations Technical Operations- Unit-II, </w:t>
      </w:r>
      <w:proofErr w:type="spellStart"/>
      <w:r w:rsidRPr="00F96E7F">
        <w:rPr>
          <w:lang w:val="en-US"/>
        </w:rPr>
        <w:t>Sy</w:t>
      </w:r>
      <w:proofErr w:type="spellEnd"/>
      <w:r w:rsidRPr="00F96E7F">
        <w:rPr>
          <w:lang w:val="en-US"/>
        </w:rPr>
        <w:t xml:space="preserve">. No. 42, 45 &amp; 46, </w:t>
      </w:r>
      <w:proofErr w:type="spellStart"/>
      <w:r w:rsidRPr="00F96E7F">
        <w:rPr>
          <w:lang w:val="en-US"/>
        </w:rPr>
        <w:t>Bachupally</w:t>
      </w:r>
      <w:proofErr w:type="spellEnd"/>
      <w:r w:rsidRPr="00F96E7F">
        <w:rPr>
          <w:lang w:val="en-US"/>
        </w:rPr>
        <w:t xml:space="preserve"> Village, </w:t>
      </w:r>
      <w:proofErr w:type="spellStart"/>
      <w:r w:rsidRPr="00F96E7F">
        <w:rPr>
          <w:lang w:val="en-US"/>
        </w:rPr>
        <w:t>Bachupally</w:t>
      </w:r>
      <w:proofErr w:type="spellEnd"/>
      <w:r w:rsidRPr="00F96E7F">
        <w:rPr>
          <w:lang w:val="en-US"/>
        </w:rPr>
        <w:t xml:space="preserve"> Mandal, </w:t>
      </w:r>
      <w:proofErr w:type="spellStart"/>
      <w:r w:rsidRPr="00F96E7F">
        <w:rPr>
          <w:lang w:val="en-US"/>
        </w:rPr>
        <w:t>Medchal</w:t>
      </w:r>
      <w:proofErr w:type="spellEnd"/>
      <w:r w:rsidRPr="00F96E7F">
        <w:rPr>
          <w:lang w:val="en-US"/>
        </w:rPr>
        <w:t xml:space="preserve"> </w:t>
      </w:r>
      <w:proofErr w:type="spellStart"/>
      <w:r w:rsidRPr="00F96E7F">
        <w:rPr>
          <w:lang w:val="en-US"/>
        </w:rPr>
        <w:t>Malkajgiri</w:t>
      </w:r>
      <w:proofErr w:type="spellEnd"/>
      <w:r w:rsidRPr="00F96E7F">
        <w:rPr>
          <w:lang w:val="en-US"/>
        </w:rPr>
        <w:t xml:space="preserve"> District, Telangana State, India - 500</w:t>
      </w:r>
      <w:r w:rsidRPr="00F96E7F">
        <w:rPr>
          <w:lang w:val="en-US"/>
        </w:rPr>
        <w:t> </w:t>
      </w:r>
      <w:r w:rsidRPr="00F96E7F">
        <w:rPr>
          <w:lang w:val="en-US"/>
        </w:rPr>
        <w:t>090</w:t>
      </w:r>
    </w:p>
    <w:p w14:paraId="5654D20A" w14:textId="7DE615E8" w:rsidR="006B6ECB" w:rsidRPr="00F96E7F" w:rsidRDefault="006B6ECB" w:rsidP="00B57A2A">
      <w:pPr>
        <w:pStyle w:val="Style22"/>
        <w:spacing w:line="360" w:lineRule="auto"/>
        <w:jc w:val="both"/>
        <w:rPr>
          <w:b/>
        </w:rPr>
      </w:pPr>
      <w:bookmarkStart w:id="0" w:name="_GoBack"/>
      <w:bookmarkEnd w:id="0"/>
      <w:r w:rsidRPr="00F96E7F">
        <w:rPr>
          <w:b/>
        </w:rPr>
        <w:t xml:space="preserve">Сведения </w:t>
      </w:r>
      <w:r w:rsidRPr="00B57A2A">
        <w:rPr>
          <w:b/>
        </w:rPr>
        <w:t>о</w:t>
      </w:r>
      <w:r w:rsidRPr="00F96E7F">
        <w:rPr>
          <w:b/>
        </w:rPr>
        <w:t xml:space="preserve"> </w:t>
      </w:r>
      <w:r w:rsidRPr="00B57A2A">
        <w:rPr>
          <w:b/>
        </w:rPr>
        <w:t>рекламациях</w:t>
      </w:r>
      <w:r w:rsidRPr="00F96E7F">
        <w:rPr>
          <w:b/>
        </w:rPr>
        <w:t xml:space="preserve"> </w:t>
      </w:r>
      <w:r w:rsidRPr="00B57A2A">
        <w:rPr>
          <w:b/>
        </w:rPr>
        <w:t>и</w:t>
      </w:r>
      <w:r w:rsidRPr="00F96E7F">
        <w:rPr>
          <w:b/>
        </w:rPr>
        <w:t xml:space="preserve"> </w:t>
      </w:r>
      <w:r w:rsidRPr="00B57A2A">
        <w:rPr>
          <w:b/>
        </w:rPr>
        <w:t>нежелательных</w:t>
      </w:r>
      <w:r w:rsidRPr="00F96E7F">
        <w:rPr>
          <w:b/>
        </w:rPr>
        <w:t xml:space="preserve"> </w:t>
      </w:r>
      <w:r w:rsidRPr="00B57A2A">
        <w:rPr>
          <w:b/>
        </w:rPr>
        <w:t>лекарственных</w:t>
      </w:r>
      <w:r w:rsidRPr="00F96E7F">
        <w:rPr>
          <w:b/>
        </w:rPr>
        <w:t xml:space="preserve"> </w:t>
      </w:r>
      <w:r w:rsidRPr="00B57A2A">
        <w:rPr>
          <w:b/>
        </w:rPr>
        <w:t>реакциях</w:t>
      </w:r>
      <w:r w:rsidRPr="00F96E7F">
        <w:rPr>
          <w:b/>
        </w:rPr>
        <w:t xml:space="preserve"> </w:t>
      </w:r>
      <w:r w:rsidRPr="00B57A2A">
        <w:rPr>
          <w:b/>
        </w:rPr>
        <w:t>направлять</w:t>
      </w:r>
      <w:r w:rsidRPr="00F96E7F">
        <w:rPr>
          <w:b/>
        </w:rPr>
        <w:t xml:space="preserve"> </w:t>
      </w:r>
      <w:r w:rsidRPr="00B57A2A">
        <w:rPr>
          <w:b/>
        </w:rPr>
        <w:t>по</w:t>
      </w:r>
      <w:r w:rsidRPr="00F96E7F">
        <w:rPr>
          <w:b/>
        </w:rPr>
        <w:t xml:space="preserve"> </w:t>
      </w:r>
      <w:r w:rsidRPr="00B57A2A">
        <w:rPr>
          <w:b/>
        </w:rPr>
        <w:t>адресу</w:t>
      </w:r>
      <w:r w:rsidRPr="00F96E7F">
        <w:rPr>
          <w:b/>
        </w:rPr>
        <w:t>:</w:t>
      </w:r>
    </w:p>
    <w:p w14:paraId="0F0AA606" w14:textId="77777777" w:rsidR="006B6ECB" w:rsidRPr="00B57A2A" w:rsidRDefault="006B6ECB" w:rsidP="00B57A2A">
      <w:pPr>
        <w:pStyle w:val="Style22"/>
        <w:spacing w:line="360" w:lineRule="auto"/>
        <w:jc w:val="both"/>
      </w:pPr>
      <w:r w:rsidRPr="00B57A2A">
        <w:t xml:space="preserve">Представительство фирмы «Д-р Редди'с Лабораторис Лтд.»: </w:t>
      </w:r>
    </w:p>
    <w:p w14:paraId="268FE63C" w14:textId="77777777" w:rsidR="006B6ECB" w:rsidRPr="00B57A2A" w:rsidRDefault="006B6ECB" w:rsidP="00B57A2A">
      <w:pPr>
        <w:pStyle w:val="Style22"/>
        <w:spacing w:line="360" w:lineRule="auto"/>
        <w:jc w:val="both"/>
      </w:pPr>
      <w:smartTag w:uri="urn:schemas-microsoft-com:office:smarttags" w:element="metricconverter">
        <w:smartTagPr>
          <w:attr w:name="ProductID" w:val="115035, г"/>
        </w:smartTagPr>
        <w:r w:rsidRPr="00B57A2A">
          <w:t>115035, г</w:t>
        </w:r>
      </w:smartTag>
      <w:r w:rsidRPr="00B57A2A">
        <w:t xml:space="preserve">. Москва, Овчинниковская наб., д.20, стр.1 </w:t>
      </w:r>
    </w:p>
    <w:p w14:paraId="79804C28" w14:textId="77777777" w:rsidR="006B6ECB" w:rsidRPr="00B57A2A" w:rsidRDefault="006B6ECB" w:rsidP="00B57A2A">
      <w:pPr>
        <w:pStyle w:val="Style22"/>
        <w:spacing w:line="360" w:lineRule="auto"/>
        <w:jc w:val="both"/>
      </w:pPr>
      <w:r w:rsidRPr="00B57A2A">
        <w:t xml:space="preserve">Тел:    (495) 795-39-39 </w:t>
      </w:r>
    </w:p>
    <w:p w14:paraId="49F69BDB" w14:textId="77777777" w:rsidR="00A61369" w:rsidRDefault="006B6ECB" w:rsidP="00B57A2A">
      <w:pPr>
        <w:pStyle w:val="Style22"/>
        <w:spacing w:line="360" w:lineRule="auto"/>
        <w:jc w:val="both"/>
      </w:pPr>
      <w:r w:rsidRPr="00B57A2A">
        <w:t>Факс: (495) 795-39-08</w:t>
      </w:r>
    </w:p>
    <w:p w14:paraId="14C60E2F" w14:textId="77777777" w:rsidR="006920D1" w:rsidRDefault="006920D1" w:rsidP="00B57A2A">
      <w:pPr>
        <w:pStyle w:val="Style22"/>
        <w:spacing w:line="360" w:lineRule="auto"/>
        <w:jc w:val="both"/>
      </w:pPr>
    </w:p>
    <w:sectPr w:rsidR="006920D1" w:rsidSect="00A374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7DD6" w14:textId="77777777" w:rsidR="00850C27" w:rsidRDefault="00850C27" w:rsidP="00B33C78">
      <w:pPr>
        <w:spacing w:after="0" w:line="240" w:lineRule="auto"/>
      </w:pPr>
      <w:r>
        <w:separator/>
      </w:r>
    </w:p>
  </w:endnote>
  <w:endnote w:type="continuationSeparator" w:id="0">
    <w:p w14:paraId="7CE71298" w14:textId="77777777" w:rsidR="00850C27" w:rsidRDefault="00850C27" w:rsidP="00B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341054"/>
      <w:docPartObj>
        <w:docPartGallery w:val="Page Numbers (Bottom of Page)"/>
        <w:docPartUnique/>
      </w:docPartObj>
    </w:sdtPr>
    <w:sdtEndPr/>
    <w:sdtContent>
      <w:p w14:paraId="135FC758" w14:textId="343B1036" w:rsidR="00B33C78" w:rsidRDefault="00B33C7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7F">
          <w:rPr>
            <w:noProof/>
          </w:rPr>
          <w:t>20</w:t>
        </w:r>
        <w:r>
          <w:fldChar w:fldCharType="end"/>
        </w:r>
      </w:p>
    </w:sdtContent>
  </w:sdt>
  <w:p w14:paraId="08C61FA4" w14:textId="77777777" w:rsidR="00B33C78" w:rsidRDefault="00B33C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0746B" w14:textId="77777777" w:rsidR="00850C27" w:rsidRDefault="00850C27" w:rsidP="00B33C78">
      <w:pPr>
        <w:spacing w:after="0" w:line="240" w:lineRule="auto"/>
      </w:pPr>
      <w:r>
        <w:separator/>
      </w:r>
    </w:p>
  </w:footnote>
  <w:footnote w:type="continuationSeparator" w:id="0">
    <w:p w14:paraId="25A63C89" w14:textId="77777777" w:rsidR="00850C27" w:rsidRDefault="00850C27" w:rsidP="00B3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AA17C0"/>
    <w:lvl w:ilvl="0">
      <w:numFmt w:val="bullet"/>
      <w:lvlText w:val="*"/>
      <w:lvlJc w:val="left"/>
    </w:lvl>
  </w:abstractNum>
  <w:abstractNum w:abstractNumId="1" w15:restartNumberingAfterBreak="0">
    <w:nsid w:val="163A6FCB"/>
    <w:multiLevelType w:val="hybridMultilevel"/>
    <w:tmpl w:val="2CAC4678"/>
    <w:lvl w:ilvl="0" w:tplc="21EA59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9"/>
    <w:rsid w:val="00011354"/>
    <w:rsid w:val="00035CB5"/>
    <w:rsid w:val="0007071F"/>
    <w:rsid w:val="000B181E"/>
    <w:rsid w:val="000B76B1"/>
    <w:rsid w:val="00120224"/>
    <w:rsid w:val="0012465A"/>
    <w:rsid w:val="00132DBF"/>
    <w:rsid w:val="00156FE9"/>
    <w:rsid w:val="00173981"/>
    <w:rsid w:val="00174C40"/>
    <w:rsid w:val="001B4125"/>
    <w:rsid w:val="001E0771"/>
    <w:rsid w:val="001E539D"/>
    <w:rsid w:val="00203C59"/>
    <w:rsid w:val="00207D24"/>
    <w:rsid w:val="00216F4E"/>
    <w:rsid w:val="00234FFB"/>
    <w:rsid w:val="002430E9"/>
    <w:rsid w:val="00253B97"/>
    <w:rsid w:val="00266F1C"/>
    <w:rsid w:val="0028729C"/>
    <w:rsid w:val="002A5B99"/>
    <w:rsid w:val="002C3B86"/>
    <w:rsid w:val="002D659A"/>
    <w:rsid w:val="00307195"/>
    <w:rsid w:val="00330E7F"/>
    <w:rsid w:val="00334FC3"/>
    <w:rsid w:val="00345188"/>
    <w:rsid w:val="00357D55"/>
    <w:rsid w:val="00373BF4"/>
    <w:rsid w:val="003A6BA6"/>
    <w:rsid w:val="003B5550"/>
    <w:rsid w:val="003C15E1"/>
    <w:rsid w:val="003C4BDD"/>
    <w:rsid w:val="003E29C7"/>
    <w:rsid w:val="004210E2"/>
    <w:rsid w:val="0042291F"/>
    <w:rsid w:val="004237CF"/>
    <w:rsid w:val="00430CC4"/>
    <w:rsid w:val="00453F17"/>
    <w:rsid w:val="00461FBF"/>
    <w:rsid w:val="004C1C07"/>
    <w:rsid w:val="004C53AF"/>
    <w:rsid w:val="004D60AD"/>
    <w:rsid w:val="004D61C4"/>
    <w:rsid w:val="004E60CF"/>
    <w:rsid w:val="004F35E8"/>
    <w:rsid w:val="004F4041"/>
    <w:rsid w:val="00502B59"/>
    <w:rsid w:val="005068A0"/>
    <w:rsid w:val="00513BBA"/>
    <w:rsid w:val="00520DD5"/>
    <w:rsid w:val="00536A46"/>
    <w:rsid w:val="0056470E"/>
    <w:rsid w:val="00582562"/>
    <w:rsid w:val="00583A0E"/>
    <w:rsid w:val="005F489F"/>
    <w:rsid w:val="0061770E"/>
    <w:rsid w:val="00626D16"/>
    <w:rsid w:val="00673426"/>
    <w:rsid w:val="00680308"/>
    <w:rsid w:val="0068535F"/>
    <w:rsid w:val="006920D1"/>
    <w:rsid w:val="006A361E"/>
    <w:rsid w:val="006B6ECB"/>
    <w:rsid w:val="006C71B7"/>
    <w:rsid w:val="00710527"/>
    <w:rsid w:val="007249D4"/>
    <w:rsid w:val="00754F69"/>
    <w:rsid w:val="007D56AC"/>
    <w:rsid w:val="007E4A5A"/>
    <w:rsid w:val="0080211A"/>
    <w:rsid w:val="0080638D"/>
    <w:rsid w:val="00823B3E"/>
    <w:rsid w:val="00850C27"/>
    <w:rsid w:val="00855433"/>
    <w:rsid w:val="00860AC2"/>
    <w:rsid w:val="0087331F"/>
    <w:rsid w:val="00874447"/>
    <w:rsid w:val="00894768"/>
    <w:rsid w:val="008C2E00"/>
    <w:rsid w:val="008D7D54"/>
    <w:rsid w:val="008F186C"/>
    <w:rsid w:val="009521CF"/>
    <w:rsid w:val="0095390A"/>
    <w:rsid w:val="00971884"/>
    <w:rsid w:val="00973BA9"/>
    <w:rsid w:val="009946C2"/>
    <w:rsid w:val="009A4728"/>
    <w:rsid w:val="009A6DA2"/>
    <w:rsid w:val="009D6A87"/>
    <w:rsid w:val="009E535E"/>
    <w:rsid w:val="00A01090"/>
    <w:rsid w:val="00A37473"/>
    <w:rsid w:val="00A61369"/>
    <w:rsid w:val="00AC408A"/>
    <w:rsid w:val="00AC6B83"/>
    <w:rsid w:val="00AC72B2"/>
    <w:rsid w:val="00AD61E3"/>
    <w:rsid w:val="00AD7FED"/>
    <w:rsid w:val="00B2043E"/>
    <w:rsid w:val="00B33C78"/>
    <w:rsid w:val="00B420C6"/>
    <w:rsid w:val="00B56341"/>
    <w:rsid w:val="00B5636F"/>
    <w:rsid w:val="00B57A2A"/>
    <w:rsid w:val="00B637C3"/>
    <w:rsid w:val="00B872F5"/>
    <w:rsid w:val="00B92674"/>
    <w:rsid w:val="00BC4097"/>
    <w:rsid w:val="00BC48D3"/>
    <w:rsid w:val="00BD26F1"/>
    <w:rsid w:val="00C31D0C"/>
    <w:rsid w:val="00C50D0E"/>
    <w:rsid w:val="00CE15C2"/>
    <w:rsid w:val="00CE2C10"/>
    <w:rsid w:val="00D06D26"/>
    <w:rsid w:val="00D17C7D"/>
    <w:rsid w:val="00D27C09"/>
    <w:rsid w:val="00D63D35"/>
    <w:rsid w:val="00D90339"/>
    <w:rsid w:val="00D96905"/>
    <w:rsid w:val="00DA7163"/>
    <w:rsid w:val="00DB26D9"/>
    <w:rsid w:val="00DB3F4A"/>
    <w:rsid w:val="00DF1139"/>
    <w:rsid w:val="00DF3C60"/>
    <w:rsid w:val="00E218BB"/>
    <w:rsid w:val="00E3430B"/>
    <w:rsid w:val="00E7450A"/>
    <w:rsid w:val="00E80814"/>
    <w:rsid w:val="00E85AF6"/>
    <w:rsid w:val="00EA18EC"/>
    <w:rsid w:val="00EB3D35"/>
    <w:rsid w:val="00EE41BD"/>
    <w:rsid w:val="00EF760C"/>
    <w:rsid w:val="00F0788B"/>
    <w:rsid w:val="00F60432"/>
    <w:rsid w:val="00F95EE1"/>
    <w:rsid w:val="00F96E7F"/>
    <w:rsid w:val="00FA5933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3EF5E"/>
  <w15:chartTrackingRefBased/>
  <w15:docId w15:val="{CECE9244-BE45-433A-896E-4093528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73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5543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136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613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613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61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6136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7">
    <w:name w:val="Font Style187"/>
    <w:rsid w:val="00A613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0">
    <w:name w:val="Font Style190"/>
    <w:rsid w:val="00A613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A6136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A6136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A61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6">
    <w:name w:val="Font Style186"/>
    <w:rsid w:val="00A61369"/>
    <w:rPr>
      <w:rFonts w:ascii="Constantia" w:hAnsi="Constantia" w:cs="Constantia"/>
      <w:sz w:val="18"/>
      <w:szCs w:val="18"/>
    </w:rPr>
  </w:style>
  <w:style w:type="character" w:customStyle="1" w:styleId="FontStyle188">
    <w:name w:val="Font Style188"/>
    <w:rsid w:val="00A6136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"/>
    <w:rsid w:val="00A61369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1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4">
    <w:name w:val="Font Style204"/>
    <w:rsid w:val="00A6136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61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6136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61369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61369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A61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61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A6136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A61369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rsid w:val="00A61369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Style92">
    <w:name w:val="Style92"/>
    <w:basedOn w:val="a"/>
    <w:rsid w:val="00A61369"/>
    <w:pPr>
      <w:widowControl w:val="0"/>
      <w:autoSpaceDE w:val="0"/>
      <w:autoSpaceDN w:val="0"/>
      <w:adjustRightInd w:val="0"/>
      <w:spacing w:after="0" w:line="269" w:lineRule="exact"/>
      <w:ind w:firstLine="1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Placeholder Text"/>
    <w:uiPriority w:val="99"/>
    <w:semiHidden/>
    <w:rsid w:val="00BD26F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26F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6B6ECB"/>
    <w:pPr>
      <w:keepNext/>
      <w:suppressAutoHyphens/>
      <w:spacing w:before="240" w:after="60" w:line="240" w:lineRule="auto"/>
    </w:pPr>
    <w:rPr>
      <w:rFonts w:ascii="Arial" w:eastAsia="Times New Roman" w:hAnsi="Arial"/>
      <w:b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55433"/>
    <w:rPr>
      <w:rFonts w:ascii="Times New Roman" w:eastAsia="Times New Roman" w:hAnsi="Times New Roman"/>
      <w:b/>
      <w:bCs/>
      <w:sz w:val="22"/>
      <w:szCs w:val="22"/>
    </w:rPr>
  </w:style>
  <w:style w:type="table" w:styleId="a6">
    <w:name w:val="Table Grid"/>
    <w:basedOn w:val="a1"/>
    <w:rsid w:val="00855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210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0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0E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0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0E2"/>
    <w:rPr>
      <w:b/>
      <w:bCs/>
      <w:lang w:eastAsia="en-US"/>
    </w:rPr>
  </w:style>
  <w:style w:type="paragraph" w:styleId="ac">
    <w:name w:val="Revision"/>
    <w:hidden/>
    <w:uiPriority w:val="99"/>
    <w:semiHidden/>
    <w:rsid w:val="004210E2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C7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3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eotar.ru/pharma_mnn/1389.html?XFrom=www.lsgeo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C4C7-F51B-4A75-935B-37DE7A42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 Reddy's</Company>
  <LinksUpToDate>false</LinksUpToDate>
  <CharactersWithSpaces>42876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ntolkach</dc:creator>
  <cp:keywords/>
  <dc:description/>
  <cp:lastModifiedBy>Galina Luchnikova</cp:lastModifiedBy>
  <cp:revision>16</cp:revision>
  <cp:lastPrinted>2017-05-26T06:36:00Z</cp:lastPrinted>
  <dcterms:created xsi:type="dcterms:W3CDTF">2017-08-31T13:49:00Z</dcterms:created>
  <dcterms:modified xsi:type="dcterms:W3CDTF">2018-02-15T14:08:00Z</dcterms:modified>
</cp:coreProperties>
</file>