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000" w:rsidRPr="00413000" w:rsidRDefault="00413000" w:rsidP="00413000">
      <w:pPr>
        <w:widowControl w:val="0"/>
        <w:spacing w:line="360" w:lineRule="auto"/>
        <w:jc w:val="center"/>
        <w:rPr>
          <w:b/>
          <w:caps/>
          <w:sz w:val="24"/>
          <w:szCs w:val="24"/>
        </w:rPr>
      </w:pPr>
      <w:r w:rsidRPr="00413000">
        <w:rPr>
          <w:b/>
          <w:caps/>
          <w:sz w:val="24"/>
          <w:szCs w:val="24"/>
        </w:rPr>
        <w:t>ИНСТРУКЦИЯ</w:t>
      </w:r>
    </w:p>
    <w:p w:rsidR="001C6797" w:rsidRPr="00B751A1" w:rsidRDefault="00413000" w:rsidP="00413000">
      <w:pPr>
        <w:widowControl w:val="0"/>
        <w:spacing w:line="360" w:lineRule="auto"/>
        <w:jc w:val="center"/>
        <w:rPr>
          <w:b/>
          <w:sz w:val="24"/>
          <w:szCs w:val="24"/>
        </w:rPr>
      </w:pPr>
      <w:r w:rsidRPr="00413000">
        <w:rPr>
          <w:b/>
          <w:sz w:val="24"/>
          <w:szCs w:val="24"/>
        </w:rPr>
        <w:t>по применению лекарственного препарата для медицинского применения</w:t>
      </w:r>
    </w:p>
    <w:p w:rsidR="009D6B6A" w:rsidRPr="00B751A1" w:rsidRDefault="00237EE9" w:rsidP="00B751A1">
      <w:pPr>
        <w:widowControl w:val="0"/>
        <w:spacing w:line="360" w:lineRule="auto"/>
        <w:jc w:val="center"/>
        <w:rPr>
          <w:b/>
          <w:sz w:val="24"/>
          <w:szCs w:val="24"/>
        </w:rPr>
      </w:pPr>
      <w:proofErr w:type="spellStart"/>
      <w:r w:rsidRPr="00B751A1">
        <w:rPr>
          <w:b/>
          <w:sz w:val="24"/>
          <w:szCs w:val="24"/>
        </w:rPr>
        <w:t>ФИНАСТ</w:t>
      </w:r>
      <w:proofErr w:type="spellEnd"/>
      <w:r w:rsidR="009D6B6A" w:rsidRPr="00B751A1">
        <w:rPr>
          <w:b/>
          <w:sz w:val="24"/>
          <w:szCs w:val="24"/>
          <w:vertAlign w:val="superscript"/>
        </w:rPr>
        <w:t>®</w:t>
      </w:r>
    </w:p>
    <w:p w:rsidR="00264CD3" w:rsidRPr="00D1482C" w:rsidRDefault="00264CD3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Регистрационный номер</w:t>
      </w:r>
      <w:r w:rsidR="00F425C2" w:rsidRPr="00B751A1">
        <w:rPr>
          <w:b/>
          <w:sz w:val="24"/>
          <w:szCs w:val="24"/>
        </w:rPr>
        <w:t>:</w:t>
      </w:r>
      <w:r w:rsidR="006E3BC2">
        <w:rPr>
          <w:b/>
          <w:sz w:val="24"/>
          <w:szCs w:val="24"/>
        </w:rPr>
        <w:t xml:space="preserve"> </w:t>
      </w:r>
      <w:r w:rsidR="00D1482C" w:rsidRPr="00E53B96">
        <w:rPr>
          <w:sz w:val="24"/>
          <w:szCs w:val="24"/>
        </w:rPr>
        <w:t xml:space="preserve">П </w:t>
      </w:r>
      <w:r w:rsidR="00D1482C" w:rsidRPr="00D1482C">
        <w:rPr>
          <w:sz w:val="24"/>
          <w:szCs w:val="24"/>
          <w:lang w:val="en-US"/>
        </w:rPr>
        <w:t>N</w:t>
      </w:r>
      <w:r w:rsidR="00D1482C" w:rsidRPr="00E53B96">
        <w:rPr>
          <w:sz w:val="24"/>
          <w:szCs w:val="24"/>
        </w:rPr>
        <w:t>014580/01</w:t>
      </w:r>
    </w:p>
    <w:p w:rsidR="00264CD3" w:rsidRPr="00B751A1" w:rsidRDefault="00264CD3" w:rsidP="00B751A1">
      <w:pPr>
        <w:widowControl w:val="0"/>
        <w:spacing w:line="360" w:lineRule="auto"/>
        <w:jc w:val="both"/>
        <w:rPr>
          <w:sz w:val="24"/>
          <w:szCs w:val="24"/>
          <w:vertAlign w:val="superscript"/>
        </w:rPr>
      </w:pPr>
      <w:r w:rsidRPr="00B751A1">
        <w:rPr>
          <w:b/>
          <w:sz w:val="24"/>
          <w:szCs w:val="24"/>
        </w:rPr>
        <w:t xml:space="preserve">Торговое </w:t>
      </w:r>
      <w:r w:rsidRPr="006B0068">
        <w:rPr>
          <w:b/>
          <w:sz w:val="24"/>
          <w:szCs w:val="24"/>
        </w:rPr>
        <w:t>на</w:t>
      </w:r>
      <w:r w:rsidR="00D2141C" w:rsidRPr="006B0068">
        <w:rPr>
          <w:b/>
          <w:sz w:val="24"/>
          <w:szCs w:val="24"/>
        </w:rPr>
        <w:t>именование</w:t>
      </w:r>
      <w:r w:rsidRPr="006B0068">
        <w:rPr>
          <w:b/>
          <w:sz w:val="24"/>
          <w:szCs w:val="24"/>
        </w:rPr>
        <w:t xml:space="preserve"> препарата</w:t>
      </w:r>
      <w:r w:rsidRPr="00B751A1">
        <w:rPr>
          <w:b/>
          <w:sz w:val="24"/>
          <w:szCs w:val="24"/>
        </w:rPr>
        <w:t>:</w:t>
      </w:r>
      <w:r w:rsidRPr="00B751A1">
        <w:rPr>
          <w:sz w:val="24"/>
          <w:szCs w:val="24"/>
        </w:rPr>
        <w:t xml:space="preserve"> </w:t>
      </w:r>
      <w:proofErr w:type="spellStart"/>
      <w:r w:rsidR="00237EE9" w:rsidRPr="00B751A1">
        <w:rPr>
          <w:sz w:val="24"/>
          <w:szCs w:val="24"/>
        </w:rPr>
        <w:t>Финаст</w:t>
      </w:r>
      <w:proofErr w:type="spellEnd"/>
      <w:r w:rsidR="00237EE9" w:rsidRPr="00B751A1">
        <w:rPr>
          <w:sz w:val="24"/>
          <w:szCs w:val="24"/>
          <w:vertAlign w:val="superscript"/>
        </w:rPr>
        <w:t>®</w:t>
      </w:r>
    </w:p>
    <w:p w:rsidR="00264CD3" w:rsidRPr="00B751A1" w:rsidRDefault="00264CD3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b/>
          <w:sz w:val="24"/>
          <w:szCs w:val="24"/>
        </w:rPr>
        <w:t xml:space="preserve">Международное непатентованное </w:t>
      </w:r>
      <w:r w:rsidRPr="00485716">
        <w:rPr>
          <w:b/>
          <w:sz w:val="24"/>
          <w:szCs w:val="24"/>
        </w:rPr>
        <w:t>на</w:t>
      </w:r>
      <w:r w:rsidR="00D2141C" w:rsidRPr="00485716">
        <w:rPr>
          <w:b/>
          <w:sz w:val="24"/>
          <w:szCs w:val="24"/>
        </w:rPr>
        <w:t>именование</w:t>
      </w:r>
      <w:r w:rsidRPr="00485716">
        <w:rPr>
          <w:b/>
          <w:sz w:val="24"/>
          <w:szCs w:val="24"/>
        </w:rPr>
        <w:t xml:space="preserve"> препарата</w:t>
      </w:r>
      <w:r w:rsidRPr="00B751A1">
        <w:rPr>
          <w:b/>
          <w:sz w:val="24"/>
          <w:szCs w:val="24"/>
        </w:rPr>
        <w:t>:</w:t>
      </w:r>
      <w:r w:rsidRPr="00B751A1">
        <w:rPr>
          <w:sz w:val="24"/>
          <w:szCs w:val="24"/>
        </w:rPr>
        <w:t xml:space="preserve"> </w:t>
      </w:r>
      <w:proofErr w:type="spellStart"/>
      <w:r w:rsidR="00237EE9" w:rsidRPr="00B751A1">
        <w:rPr>
          <w:sz w:val="24"/>
          <w:szCs w:val="24"/>
        </w:rPr>
        <w:t>финастерид</w:t>
      </w:r>
      <w:proofErr w:type="spellEnd"/>
      <w:r w:rsidR="0007166C" w:rsidRPr="00B751A1">
        <w:rPr>
          <w:sz w:val="24"/>
          <w:szCs w:val="24"/>
        </w:rPr>
        <w:t>.</w:t>
      </w:r>
    </w:p>
    <w:p w:rsidR="00150F54" w:rsidRPr="00B751A1" w:rsidRDefault="00264CD3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b/>
          <w:sz w:val="24"/>
          <w:szCs w:val="24"/>
        </w:rPr>
        <w:t>Лекарственная форма</w:t>
      </w:r>
      <w:r w:rsidR="00B02D6E" w:rsidRPr="00B751A1">
        <w:rPr>
          <w:b/>
          <w:sz w:val="24"/>
          <w:szCs w:val="24"/>
        </w:rPr>
        <w:t>:</w:t>
      </w:r>
      <w:r w:rsidRPr="00B751A1">
        <w:rPr>
          <w:sz w:val="24"/>
          <w:szCs w:val="24"/>
        </w:rPr>
        <w:t xml:space="preserve"> </w:t>
      </w:r>
      <w:r w:rsidR="0007166C" w:rsidRPr="00B751A1">
        <w:rPr>
          <w:sz w:val="24"/>
          <w:szCs w:val="24"/>
        </w:rPr>
        <w:t xml:space="preserve">таблетки, покрытые </w:t>
      </w:r>
      <w:r w:rsidR="00ED2CA0" w:rsidRPr="00B751A1">
        <w:rPr>
          <w:sz w:val="24"/>
          <w:szCs w:val="24"/>
        </w:rPr>
        <w:t xml:space="preserve">пленочной </w:t>
      </w:r>
      <w:r w:rsidR="0007166C" w:rsidRPr="00B751A1">
        <w:rPr>
          <w:sz w:val="24"/>
          <w:szCs w:val="24"/>
        </w:rPr>
        <w:t>оболочкой.</w:t>
      </w:r>
    </w:p>
    <w:p w:rsidR="00623AEB" w:rsidRPr="00B751A1" w:rsidRDefault="00623AEB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 xml:space="preserve">Состав </w:t>
      </w:r>
    </w:p>
    <w:p w:rsidR="00623AEB" w:rsidRPr="00B751A1" w:rsidRDefault="00623AEB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sz w:val="24"/>
          <w:szCs w:val="24"/>
        </w:rPr>
        <w:t>Каждая таблетка, покрытая пленочной оболочкой, содержит:</w:t>
      </w:r>
    </w:p>
    <w:p w:rsidR="00623AEB" w:rsidRPr="00B751A1" w:rsidRDefault="00D2141C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63629B">
        <w:rPr>
          <w:i/>
          <w:sz w:val="24"/>
          <w:szCs w:val="24"/>
        </w:rPr>
        <w:t>Действующее</w:t>
      </w:r>
      <w:r w:rsidR="00623AEB" w:rsidRPr="0063629B">
        <w:rPr>
          <w:i/>
          <w:sz w:val="24"/>
          <w:szCs w:val="24"/>
        </w:rPr>
        <w:t xml:space="preserve"> вещество</w:t>
      </w:r>
      <w:r w:rsidR="00623AEB" w:rsidRPr="00B751A1">
        <w:rPr>
          <w:sz w:val="24"/>
          <w:szCs w:val="24"/>
        </w:rPr>
        <w:t xml:space="preserve">: </w:t>
      </w:r>
      <w:proofErr w:type="spellStart"/>
      <w:r w:rsidR="00623AEB" w:rsidRPr="00B751A1">
        <w:rPr>
          <w:sz w:val="24"/>
          <w:szCs w:val="24"/>
        </w:rPr>
        <w:t>финастерид</w:t>
      </w:r>
      <w:proofErr w:type="spellEnd"/>
      <w:r w:rsidR="00623AEB" w:rsidRPr="00B751A1">
        <w:rPr>
          <w:sz w:val="24"/>
          <w:szCs w:val="24"/>
        </w:rPr>
        <w:t xml:space="preserve"> 5 мг.</w:t>
      </w:r>
    </w:p>
    <w:p w:rsidR="00560913" w:rsidRPr="00B751A1" w:rsidRDefault="00623AEB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i/>
          <w:sz w:val="24"/>
          <w:szCs w:val="24"/>
        </w:rPr>
        <w:t>Вспомогательные вещества</w:t>
      </w:r>
      <w:r w:rsidRPr="00B751A1">
        <w:rPr>
          <w:sz w:val="24"/>
          <w:szCs w:val="24"/>
        </w:rPr>
        <w:t>: лактоза 86,75 мг, целлюлоза микрокристаллическая (</w:t>
      </w:r>
      <w:proofErr w:type="spellStart"/>
      <w:r w:rsidRPr="00B751A1">
        <w:rPr>
          <w:sz w:val="24"/>
          <w:szCs w:val="24"/>
        </w:rPr>
        <w:t>Ultra</w:t>
      </w:r>
      <w:proofErr w:type="spellEnd"/>
      <w:r w:rsidR="00F03C3F">
        <w:rPr>
          <w:sz w:val="24"/>
          <w:szCs w:val="24"/>
        </w:rPr>
        <w:noBreakHyphen/>
      </w:r>
      <w:r w:rsidRPr="00B751A1">
        <w:rPr>
          <w:sz w:val="24"/>
          <w:szCs w:val="24"/>
        </w:rPr>
        <w:t xml:space="preserve">102) 12 мг, </w:t>
      </w:r>
      <w:proofErr w:type="spellStart"/>
      <w:r w:rsidRPr="00B751A1">
        <w:rPr>
          <w:sz w:val="24"/>
          <w:szCs w:val="24"/>
        </w:rPr>
        <w:t>карбоксиметилкрахмал</w:t>
      </w:r>
      <w:proofErr w:type="spellEnd"/>
      <w:r w:rsidRPr="00B751A1">
        <w:rPr>
          <w:sz w:val="24"/>
          <w:szCs w:val="24"/>
        </w:rPr>
        <w:t xml:space="preserve"> натрия (тип А) 6 мг, крахмал кукурузный </w:t>
      </w:r>
      <w:proofErr w:type="spellStart"/>
      <w:r w:rsidRPr="00B751A1">
        <w:rPr>
          <w:sz w:val="24"/>
          <w:szCs w:val="24"/>
        </w:rPr>
        <w:t>прежелатинизированный</w:t>
      </w:r>
      <w:proofErr w:type="spellEnd"/>
      <w:r w:rsidRPr="00B751A1">
        <w:rPr>
          <w:sz w:val="24"/>
          <w:szCs w:val="24"/>
        </w:rPr>
        <w:t xml:space="preserve"> 12 мг, </w:t>
      </w:r>
      <w:proofErr w:type="spellStart"/>
      <w:r w:rsidRPr="00B751A1">
        <w:rPr>
          <w:sz w:val="24"/>
          <w:szCs w:val="24"/>
        </w:rPr>
        <w:t>докузат</w:t>
      </w:r>
      <w:proofErr w:type="spellEnd"/>
      <w:r w:rsidRPr="00B751A1">
        <w:rPr>
          <w:sz w:val="24"/>
          <w:szCs w:val="24"/>
        </w:rPr>
        <w:t xml:space="preserve"> натрия 2,5 мг, магния стеарат 0,75 мг</w:t>
      </w:r>
      <w:r w:rsidR="00560913" w:rsidRPr="00B751A1">
        <w:rPr>
          <w:sz w:val="24"/>
          <w:szCs w:val="24"/>
        </w:rPr>
        <w:t>.</w:t>
      </w:r>
    </w:p>
    <w:p w:rsidR="00623AEB" w:rsidRPr="00B751A1" w:rsidRDefault="0063629B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63629B">
        <w:rPr>
          <w:i/>
          <w:sz w:val="24"/>
          <w:szCs w:val="24"/>
        </w:rPr>
        <w:t>Оболочка</w:t>
      </w:r>
      <w:r w:rsidR="00623AEB" w:rsidRPr="0063629B">
        <w:rPr>
          <w:sz w:val="24"/>
          <w:szCs w:val="24"/>
        </w:rPr>
        <w:t>: гипромеллоза</w:t>
      </w:r>
      <w:r w:rsidR="00623AEB" w:rsidRPr="00B751A1">
        <w:rPr>
          <w:sz w:val="24"/>
          <w:szCs w:val="24"/>
        </w:rPr>
        <w:t xml:space="preserve"> (15 cps) 2,4 мг, пропиленгликоль 0,4 мг, титана диоксид 0,8 мг, тальк 0,4 мг.</w:t>
      </w:r>
    </w:p>
    <w:p w:rsidR="00704D83" w:rsidRPr="00B751A1" w:rsidRDefault="00264CD3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О</w:t>
      </w:r>
      <w:r w:rsidR="00B02D6E" w:rsidRPr="00B751A1">
        <w:rPr>
          <w:b/>
          <w:sz w:val="24"/>
          <w:szCs w:val="24"/>
        </w:rPr>
        <w:t>писание</w:t>
      </w:r>
    </w:p>
    <w:p w:rsidR="000C3F8F" w:rsidRPr="00B751A1" w:rsidRDefault="00DC5671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sz w:val="24"/>
          <w:szCs w:val="24"/>
        </w:rPr>
        <w:t>К</w:t>
      </w:r>
      <w:r w:rsidR="000C3F8F" w:rsidRPr="00B751A1">
        <w:rPr>
          <w:sz w:val="24"/>
          <w:szCs w:val="24"/>
        </w:rPr>
        <w:t xml:space="preserve">руглые двояковыпуклые таблетки, покрытые </w:t>
      </w:r>
      <w:r w:rsidRPr="00B751A1">
        <w:rPr>
          <w:sz w:val="24"/>
          <w:szCs w:val="24"/>
        </w:rPr>
        <w:t xml:space="preserve">пленочной </w:t>
      </w:r>
      <w:r w:rsidR="000C3F8F" w:rsidRPr="00B751A1">
        <w:rPr>
          <w:sz w:val="24"/>
          <w:szCs w:val="24"/>
        </w:rPr>
        <w:t xml:space="preserve">оболочкой, белого </w:t>
      </w:r>
      <w:r w:rsidR="00BC6B3D" w:rsidRPr="00B751A1">
        <w:rPr>
          <w:sz w:val="24"/>
          <w:szCs w:val="24"/>
        </w:rPr>
        <w:t xml:space="preserve">или почти белого </w:t>
      </w:r>
      <w:r w:rsidR="000C3F8F" w:rsidRPr="00B751A1">
        <w:rPr>
          <w:sz w:val="24"/>
          <w:szCs w:val="24"/>
        </w:rPr>
        <w:t>цвета</w:t>
      </w:r>
      <w:r w:rsidR="000C3F8F" w:rsidRPr="00B751A1">
        <w:rPr>
          <w:color w:val="FF0000"/>
          <w:sz w:val="24"/>
          <w:szCs w:val="24"/>
        </w:rPr>
        <w:t xml:space="preserve"> </w:t>
      </w:r>
      <w:r w:rsidR="000C3F8F" w:rsidRPr="00B751A1">
        <w:rPr>
          <w:sz w:val="24"/>
          <w:szCs w:val="24"/>
        </w:rPr>
        <w:t xml:space="preserve">с тиснением </w:t>
      </w:r>
      <w:proofErr w:type="spellStart"/>
      <w:r w:rsidR="000C3F8F" w:rsidRPr="00B751A1">
        <w:rPr>
          <w:sz w:val="24"/>
          <w:szCs w:val="24"/>
        </w:rPr>
        <w:t>FIN</w:t>
      </w:r>
      <w:proofErr w:type="spellEnd"/>
      <w:r w:rsidR="000C3F8F" w:rsidRPr="00B751A1">
        <w:rPr>
          <w:sz w:val="24"/>
          <w:szCs w:val="24"/>
        </w:rPr>
        <w:t xml:space="preserve"> на одной стороне и гладкой поверхностью на другой стороне.</w:t>
      </w:r>
    </w:p>
    <w:p w:rsidR="007065A3" w:rsidRPr="00B751A1" w:rsidRDefault="00856023" w:rsidP="00B751A1">
      <w:pPr>
        <w:widowControl w:val="0"/>
        <w:spacing w:line="360" w:lineRule="auto"/>
        <w:jc w:val="both"/>
        <w:rPr>
          <w:snapToGrid w:val="0"/>
          <w:sz w:val="24"/>
          <w:szCs w:val="24"/>
        </w:rPr>
      </w:pPr>
      <w:r w:rsidRPr="00B751A1">
        <w:rPr>
          <w:b/>
          <w:snapToGrid w:val="0"/>
          <w:sz w:val="24"/>
          <w:szCs w:val="24"/>
        </w:rPr>
        <w:t>Фармакотерапевтическая группа:</w:t>
      </w:r>
      <w:r w:rsidRPr="00B751A1">
        <w:rPr>
          <w:snapToGrid w:val="0"/>
          <w:sz w:val="24"/>
          <w:szCs w:val="24"/>
        </w:rPr>
        <w:t xml:space="preserve"> </w:t>
      </w:r>
      <w:r w:rsidR="00E71CD6" w:rsidRPr="00B751A1">
        <w:rPr>
          <w:sz w:val="24"/>
          <w:szCs w:val="24"/>
        </w:rPr>
        <w:t xml:space="preserve">5-альфа </w:t>
      </w:r>
      <w:proofErr w:type="spellStart"/>
      <w:r w:rsidR="00E71CD6" w:rsidRPr="00B751A1">
        <w:rPr>
          <w:sz w:val="24"/>
          <w:szCs w:val="24"/>
        </w:rPr>
        <w:t>редуктазы</w:t>
      </w:r>
      <w:proofErr w:type="spellEnd"/>
      <w:r w:rsidR="00E71CD6" w:rsidRPr="00B751A1">
        <w:rPr>
          <w:sz w:val="24"/>
          <w:szCs w:val="24"/>
        </w:rPr>
        <w:t xml:space="preserve"> </w:t>
      </w:r>
      <w:r w:rsidR="008E2914" w:rsidRPr="00B751A1">
        <w:rPr>
          <w:sz w:val="24"/>
          <w:szCs w:val="24"/>
        </w:rPr>
        <w:t>ингибитор</w:t>
      </w:r>
      <w:r w:rsidR="00E71CD6" w:rsidRPr="00B751A1">
        <w:rPr>
          <w:sz w:val="24"/>
          <w:szCs w:val="24"/>
        </w:rPr>
        <w:t>.</w:t>
      </w:r>
    </w:p>
    <w:p w:rsidR="00856023" w:rsidRPr="00B751A1" w:rsidRDefault="00856023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b/>
          <w:snapToGrid w:val="0"/>
          <w:sz w:val="24"/>
          <w:szCs w:val="24"/>
        </w:rPr>
        <w:t xml:space="preserve">Код </w:t>
      </w:r>
      <w:proofErr w:type="spellStart"/>
      <w:r w:rsidRPr="00B751A1">
        <w:rPr>
          <w:b/>
          <w:snapToGrid w:val="0"/>
          <w:sz w:val="24"/>
          <w:szCs w:val="24"/>
        </w:rPr>
        <w:t>АТХ</w:t>
      </w:r>
      <w:proofErr w:type="spellEnd"/>
      <w:r w:rsidRPr="00B751A1">
        <w:rPr>
          <w:b/>
          <w:snapToGrid w:val="0"/>
          <w:sz w:val="24"/>
          <w:szCs w:val="24"/>
        </w:rPr>
        <w:t>:</w:t>
      </w:r>
      <w:r w:rsidRPr="00B751A1">
        <w:rPr>
          <w:snapToGrid w:val="0"/>
          <w:sz w:val="24"/>
          <w:szCs w:val="24"/>
        </w:rPr>
        <w:t xml:space="preserve"> </w:t>
      </w:r>
      <w:proofErr w:type="spellStart"/>
      <w:r w:rsidR="003E66F6" w:rsidRPr="00B751A1">
        <w:rPr>
          <w:sz w:val="24"/>
          <w:szCs w:val="24"/>
        </w:rPr>
        <w:t>G04CB01</w:t>
      </w:r>
      <w:proofErr w:type="spellEnd"/>
      <w:r w:rsidR="007065A3" w:rsidRPr="00B751A1">
        <w:rPr>
          <w:sz w:val="24"/>
          <w:szCs w:val="24"/>
        </w:rPr>
        <w:t>.</w:t>
      </w:r>
    </w:p>
    <w:p w:rsidR="00264CD3" w:rsidRPr="00B751A1" w:rsidRDefault="00264CD3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Ф</w:t>
      </w:r>
      <w:r w:rsidR="008A331E" w:rsidRPr="00B751A1">
        <w:rPr>
          <w:b/>
          <w:sz w:val="24"/>
          <w:szCs w:val="24"/>
        </w:rPr>
        <w:t>армакологические</w:t>
      </w:r>
      <w:r w:rsidR="00B02D6E" w:rsidRPr="00B751A1">
        <w:rPr>
          <w:b/>
          <w:sz w:val="24"/>
          <w:szCs w:val="24"/>
        </w:rPr>
        <w:t xml:space="preserve"> свойства</w:t>
      </w:r>
    </w:p>
    <w:p w:rsidR="00264CD3" w:rsidRPr="00B751A1" w:rsidRDefault="00264CD3" w:rsidP="00B751A1">
      <w:pPr>
        <w:widowControl w:val="0"/>
        <w:spacing w:line="360" w:lineRule="auto"/>
        <w:jc w:val="both"/>
        <w:rPr>
          <w:b/>
          <w:i/>
          <w:sz w:val="24"/>
          <w:szCs w:val="24"/>
        </w:rPr>
      </w:pPr>
      <w:r w:rsidRPr="00B751A1">
        <w:rPr>
          <w:b/>
          <w:i/>
          <w:sz w:val="24"/>
          <w:szCs w:val="24"/>
        </w:rPr>
        <w:t>Фармакодинамика</w:t>
      </w:r>
    </w:p>
    <w:p w:rsidR="00A505EC" w:rsidRDefault="003C4F99" w:rsidP="008C53DC">
      <w:p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Финастерид</w:t>
      </w:r>
      <w:proofErr w:type="spellEnd"/>
      <w:r>
        <w:rPr>
          <w:sz w:val="24"/>
          <w:szCs w:val="24"/>
        </w:rPr>
        <w:t xml:space="preserve"> </w:t>
      </w:r>
      <w:r w:rsidR="00145F0B">
        <w:rPr>
          <w:sz w:val="24"/>
          <w:szCs w:val="24"/>
        </w:rPr>
        <w:t xml:space="preserve">– </w:t>
      </w:r>
      <w:r w:rsidR="008C53DC" w:rsidRPr="008C53DC">
        <w:rPr>
          <w:sz w:val="24"/>
          <w:szCs w:val="24"/>
        </w:rPr>
        <w:t>синтетическое 4-</w:t>
      </w:r>
      <w:proofErr w:type="spellStart"/>
      <w:r w:rsidR="008C53DC" w:rsidRPr="008C53DC">
        <w:rPr>
          <w:sz w:val="24"/>
          <w:szCs w:val="24"/>
        </w:rPr>
        <w:t>азастероидное</w:t>
      </w:r>
      <w:proofErr w:type="spellEnd"/>
      <w:r w:rsidR="008C53DC" w:rsidRPr="008C53DC">
        <w:rPr>
          <w:sz w:val="24"/>
          <w:szCs w:val="24"/>
        </w:rPr>
        <w:t xml:space="preserve"> соединение, является специфическим ингибитором 5-альфа </w:t>
      </w:r>
      <w:proofErr w:type="spellStart"/>
      <w:r w:rsidR="008C53DC" w:rsidRPr="008C53DC">
        <w:rPr>
          <w:sz w:val="24"/>
          <w:szCs w:val="24"/>
        </w:rPr>
        <w:t>редуктазы</w:t>
      </w:r>
      <w:proofErr w:type="spellEnd"/>
      <w:r w:rsidR="008C53DC" w:rsidRPr="008C53DC">
        <w:rPr>
          <w:sz w:val="24"/>
          <w:szCs w:val="24"/>
        </w:rPr>
        <w:t xml:space="preserve"> </w:t>
      </w:r>
      <w:proofErr w:type="spellStart"/>
      <w:r w:rsidR="008C53DC" w:rsidRPr="008C53DC">
        <w:rPr>
          <w:sz w:val="24"/>
          <w:szCs w:val="24"/>
        </w:rPr>
        <w:t>II</w:t>
      </w:r>
      <w:proofErr w:type="spellEnd"/>
      <w:r w:rsidR="008C53DC" w:rsidRPr="008C53DC">
        <w:rPr>
          <w:sz w:val="24"/>
          <w:szCs w:val="24"/>
        </w:rPr>
        <w:t xml:space="preserve"> типа — внутриклеточного фермента, который превращает тестостерон в более активный андроген — </w:t>
      </w:r>
      <w:proofErr w:type="spellStart"/>
      <w:r w:rsidR="008C53DC" w:rsidRPr="008C53DC">
        <w:rPr>
          <w:sz w:val="24"/>
          <w:szCs w:val="24"/>
        </w:rPr>
        <w:t>дигидротестостерон</w:t>
      </w:r>
      <w:proofErr w:type="spellEnd"/>
      <w:r w:rsidR="008C53DC" w:rsidRPr="008C53DC">
        <w:rPr>
          <w:sz w:val="24"/>
          <w:szCs w:val="24"/>
        </w:rPr>
        <w:t xml:space="preserve"> (</w:t>
      </w:r>
      <w:proofErr w:type="spellStart"/>
      <w:r w:rsidR="008C53DC" w:rsidRPr="008C53DC">
        <w:rPr>
          <w:sz w:val="24"/>
          <w:szCs w:val="24"/>
        </w:rPr>
        <w:t>ДГТ</w:t>
      </w:r>
      <w:proofErr w:type="spellEnd"/>
      <w:r w:rsidR="008C53DC" w:rsidRPr="008C53DC">
        <w:rPr>
          <w:sz w:val="24"/>
          <w:szCs w:val="24"/>
        </w:rPr>
        <w:t>). При доброкачественной гиперплазии предстательной железы (</w:t>
      </w:r>
      <w:proofErr w:type="spellStart"/>
      <w:r w:rsidR="008C53DC" w:rsidRPr="008C53DC">
        <w:rPr>
          <w:sz w:val="24"/>
          <w:szCs w:val="24"/>
        </w:rPr>
        <w:t>ДГПЖ</w:t>
      </w:r>
      <w:proofErr w:type="spellEnd"/>
      <w:r w:rsidR="008C53DC" w:rsidRPr="008C53DC">
        <w:rPr>
          <w:sz w:val="24"/>
          <w:szCs w:val="24"/>
        </w:rPr>
        <w:t xml:space="preserve">) ее увеличение зависит от превращения тестостерона в </w:t>
      </w:r>
      <w:proofErr w:type="spellStart"/>
      <w:r w:rsidR="008C53DC" w:rsidRPr="008C53DC">
        <w:rPr>
          <w:sz w:val="24"/>
          <w:szCs w:val="24"/>
        </w:rPr>
        <w:t>ДГТ</w:t>
      </w:r>
      <w:proofErr w:type="spellEnd"/>
      <w:r w:rsidR="008C53DC" w:rsidRPr="008C53DC">
        <w:rPr>
          <w:sz w:val="24"/>
          <w:szCs w:val="24"/>
        </w:rPr>
        <w:t xml:space="preserve"> в предстательной железе. </w:t>
      </w:r>
      <w:proofErr w:type="spellStart"/>
      <w:r w:rsidR="002C261B">
        <w:rPr>
          <w:sz w:val="24"/>
          <w:szCs w:val="24"/>
        </w:rPr>
        <w:t>Финастерид</w:t>
      </w:r>
      <w:proofErr w:type="spellEnd"/>
      <w:r w:rsidR="002C261B">
        <w:rPr>
          <w:sz w:val="24"/>
          <w:szCs w:val="24"/>
        </w:rPr>
        <w:t xml:space="preserve"> </w:t>
      </w:r>
      <w:r w:rsidR="008C53DC" w:rsidRPr="008C53DC">
        <w:rPr>
          <w:sz w:val="24"/>
          <w:szCs w:val="24"/>
        </w:rPr>
        <w:t xml:space="preserve">высокоэффективно снижает концентрацию </w:t>
      </w:r>
      <w:proofErr w:type="spellStart"/>
      <w:r w:rsidR="008C53DC" w:rsidRPr="008C53DC">
        <w:rPr>
          <w:sz w:val="24"/>
          <w:szCs w:val="24"/>
        </w:rPr>
        <w:t>ДГТ</w:t>
      </w:r>
      <w:proofErr w:type="spellEnd"/>
      <w:r w:rsidR="008C53DC" w:rsidRPr="008C53DC">
        <w:rPr>
          <w:sz w:val="24"/>
          <w:szCs w:val="24"/>
        </w:rPr>
        <w:t xml:space="preserve"> как в крови, так и в ткани предстательной </w:t>
      </w:r>
      <w:r w:rsidR="00D1482C">
        <w:rPr>
          <w:sz w:val="24"/>
          <w:szCs w:val="24"/>
        </w:rPr>
        <w:t>железы. </w:t>
      </w:r>
      <w:r w:rsidR="008C53DC" w:rsidRPr="008C53DC">
        <w:rPr>
          <w:sz w:val="24"/>
          <w:szCs w:val="24"/>
        </w:rPr>
        <w:t xml:space="preserve">Подавление образования </w:t>
      </w:r>
      <w:proofErr w:type="spellStart"/>
      <w:r w:rsidR="008C53DC" w:rsidRPr="008C53DC">
        <w:rPr>
          <w:sz w:val="24"/>
          <w:szCs w:val="24"/>
        </w:rPr>
        <w:t>ДГТ</w:t>
      </w:r>
      <w:proofErr w:type="spellEnd"/>
      <w:r w:rsidR="008C53DC" w:rsidRPr="008C53DC">
        <w:rPr>
          <w:sz w:val="24"/>
          <w:szCs w:val="24"/>
        </w:rPr>
        <w:t xml:space="preserve"> сопровождается уменьшением размеров предстательной железы, увеличением максимальной скорости тока мочи и снижением выраженности симптомов, связанных с гипер</w:t>
      </w:r>
      <w:r w:rsidR="00D1482C">
        <w:rPr>
          <w:sz w:val="24"/>
          <w:szCs w:val="24"/>
        </w:rPr>
        <w:t>плазией предстательной железы. </w:t>
      </w:r>
      <w:proofErr w:type="spellStart"/>
      <w:r w:rsidR="008C53DC" w:rsidRPr="008C53DC">
        <w:rPr>
          <w:sz w:val="24"/>
          <w:szCs w:val="24"/>
        </w:rPr>
        <w:t>Финастерид</w:t>
      </w:r>
      <w:proofErr w:type="spellEnd"/>
      <w:r w:rsidR="008C53DC" w:rsidRPr="008C53DC">
        <w:rPr>
          <w:sz w:val="24"/>
          <w:szCs w:val="24"/>
        </w:rPr>
        <w:t xml:space="preserve"> не обладает сродством к рецептору андрогенов. Препарат не оказывает значимого влияния на липидный профиль (общий холестерин, липопротеины низкой плотности (</w:t>
      </w:r>
      <w:proofErr w:type="spellStart"/>
      <w:r w:rsidR="008C53DC" w:rsidRPr="008C53DC">
        <w:rPr>
          <w:sz w:val="24"/>
          <w:szCs w:val="24"/>
        </w:rPr>
        <w:t>ЛПНП</w:t>
      </w:r>
      <w:proofErr w:type="spellEnd"/>
      <w:r w:rsidR="008C53DC" w:rsidRPr="008C53DC">
        <w:rPr>
          <w:sz w:val="24"/>
          <w:szCs w:val="24"/>
        </w:rPr>
        <w:t>), липопротеины высокой плотности (</w:t>
      </w:r>
      <w:proofErr w:type="spellStart"/>
      <w:r w:rsidR="008C53DC" w:rsidRPr="008C53DC">
        <w:rPr>
          <w:sz w:val="24"/>
          <w:szCs w:val="24"/>
        </w:rPr>
        <w:t>ЛПВП</w:t>
      </w:r>
      <w:proofErr w:type="spellEnd"/>
      <w:r w:rsidR="008C53DC" w:rsidRPr="008C53DC">
        <w:rPr>
          <w:sz w:val="24"/>
          <w:szCs w:val="24"/>
        </w:rPr>
        <w:t xml:space="preserve">) и триглицериды) и минеральную плотность костной ткани. </w:t>
      </w:r>
      <w:proofErr w:type="spellStart"/>
      <w:r w:rsidR="008C53DC" w:rsidRPr="008C53DC">
        <w:rPr>
          <w:sz w:val="24"/>
          <w:szCs w:val="24"/>
        </w:rPr>
        <w:t>Финастерид</w:t>
      </w:r>
      <w:proofErr w:type="spellEnd"/>
      <w:r w:rsidR="008C53DC" w:rsidRPr="008C53DC">
        <w:rPr>
          <w:sz w:val="24"/>
          <w:szCs w:val="24"/>
        </w:rPr>
        <w:t xml:space="preserve"> </w:t>
      </w:r>
      <w:r w:rsidR="008C53DC" w:rsidRPr="008C53DC">
        <w:rPr>
          <w:sz w:val="24"/>
          <w:szCs w:val="24"/>
        </w:rPr>
        <w:lastRenderedPageBreak/>
        <w:t xml:space="preserve">не оказывает влияния на содержание в крови кортизола, </w:t>
      </w:r>
      <w:proofErr w:type="spellStart"/>
      <w:r w:rsidR="008C53DC" w:rsidRPr="008C53DC">
        <w:rPr>
          <w:sz w:val="24"/>
          <w:szCs w:val="24"/>
        </w:rPr>
        <w:t>эстрадиола</w:t>
      </w:r>
      <w:proofErr w:type="spellEnd"/>
      <w:r w:rsidR="008C53DC" w:rsidRPr="008C53DC">
        <w:rPr>
          <w:sz w:val="24"/>
          <w:szCs w:val="24"/>
        </w:rPr>
        <w:t>, пролактина, тиреотропного гормона и тироксина в сравнении с плацебо.</w:t>
      </w:r>
    </w:p>
    <w:p w:rsidR="00340530" w:rsidRDefault="008C53DC" w:rsidP="008C53DC">
      <w:pPr>
        <w:spacing w:line="360" w:lineRule="auto"/>
        <w:jc w:val="both"/>
        <w:rPr>
          <w:sz w:val="24"/>
          <w:szCs w:val="24"/>
        </w:rPr>
      </w:pPr>
      <w:r w:rsidRPr="008C53DC">
        <w:rPr>
          <w:sz w:val="24"/>
          <w:szCs w:val="24"/>
        </w:rPr>
        <w:t xml:space="preserve">Однократный прием </w:t>
      </w:r>
      <w:proofErr w:type="spellStart"/>
      <w:r w:rsidRPr="008C53DC">
        <w:rPr>
          <w:sz w:val="24"/>
          <w:szCs w:val="24"/>
        </w:rPr>
        <w:t>финастерида</w:t>
      </w:r>
      <w:proofErr w:type="spellEnd"/>
      <w:r w:rsidRPr="008C53DC">
        <w:rPr>
          <w:sz w:val="24"/>
          <w:szCs w:val="24"/>
        </w:rPr>
        <w:t xml:space="preserve"> в дозе 5 мг приводит к быстрому снижению концентрации </w:t>
      </w:r>
      <w:proofErr w:type="spellStart"/>
      <w:r w:rsidRPr="008C53DC">
        <w:rPr>
          <w:sz w:val="24"/>
          <w:szCs w:val="24"/>
        </w:rPr>
        <w:t>ДГТ</w:t>
      </w:r>
      <w:proofErr w:type="spellEnd"/>
      <w:r w:rsidRPr="008C53DC">
        <w:rPr>
          <w:sz w:val="24"/>
          <w:szCs w:val="24"/>
        </w:rPr>
        <w:t xml:space="preserve"> в сыворотке крови с достижением максимального эффекта через 8 ч</w:t>
      </w:r>
      <w:r w:rsidR="00340530">
        <w:rPr>
          <w:sz w:val="24"/>
          <w:szCs w:val="24"/>
        </w:rPr>
        <w:t>асов.</w:t>
      </w:r>
      <w:r w:rsidRPr="008C53DC">
        <w:rPr>
          <w:sz w:val="24"/>
          <w:szCs w:val="24"/>
        </w:rPr>
        <w:t xml:space="preserve"> Несмотря на то, что концентрация </w:t>
      </w:r>
      <w:proofErr w:type="spellStart"/>
      <w:r w:rsidRPr="008C53DC">
        <w:rPr>
          <w:sz w:val="24"/>
          <w:szCs w:val="24"/>
        </w:rPr>
        <w:t>финастерида</w:t>
      </w:r>
      <w:proofErr w:type="spellEnd"/>
      <w:r w:rsidRPr="008C53DC">
        <w:rPr>
          <w:sz w:val="24"/>
          <w:szCs w:val="24"/>
        </w:rPr>
        <w:t xml:space="preserve"> в плазме крови подвергается колебаниям на протяжении 24 ч</w:t>
      </w:r>
      <w:r w:rsidR="00340530">
        <w:rPr>
          <w:sz w:val="24"/>
          <w:szCs w:val="24"/>
        </w:rPr>
        <w:t>асов</w:t>
      </w:r>
      <w:r w:rsidRPr="008C53DC">
        <w:rPr>
          <w:sz w:val="24"/>
          <w:szCs w:val="24"/>
        </w:rPr>
        <w:t>, конц</w:t>
      </w:r>
      <w:r w:rsidR="00340530">
        <w:rPr>
          <w:sz w:val="24"/>
          <w:szCs w:val="24"/>
        </w:rPr>
        <w:t xml:space="preserve">ентрация </w:t>
      </w:r>
      <w:proofErr w:type="spellStart"/>
      <w:r w:rsidR="00340530">
        <w:rPr>
          <w:sz w:val="24"/>
          <w:szCs w:val="24"/>
        </w:rPr>
        <w:t>ДГТ</w:t>
      </w:r>
      <w:proofErr w:type="spellEnd"/>
      <w:r w:rsidR="00340530">
        <w:rPr>
          <w:sz w:val="24"/>
          <w:szCs w:val="24"/>
        </w:rPr>
        <w:t xml:space="preserve"> остается постоянной</w:t>
      </w:r>
      <w:r w:rsidRPr="008C53DC">
        <w:rPr>
          <w:sz w:val="24"/>
          <w:szCs w:val="24"/>
        </w:rPr>
        <w:t xml:space="preserve">. Это означает, что концентрация </w:t>
      </w:r>
      <w:proofErr w:type="spellStart"/>
      <w:r w:rsidRPr="008C53DC">
        <w:rPr>
          <w:sz w:val="24"/>
          <w:szCs w:val="24"/>
        </w:rPr>
        <w:t>финастерида</w:t>
      </w:r>
      <w:proofErr w:type="spellEnd"/>
      <w:r w:rsidRPr="008C53DC">
        <w:rPr>
          <w:sz w:val="24"/>
          <w:szCs w:val="24"/>
        </w:rPr>
        <w:t xml:space="preserve"> в плазме крови напрямую не связана с концентрацией </w:t>
      </w:r>
      <w:proofErr w:type="spellStart"/>
      <w:r w:rsidRPr="008C53DC">
        <w:rPr>
          <w:sz w:val="24"/>
          <w:szCs w:val="24"/>
        </w:rPr>
        <w:t>ДГТ</w:t>
      </w:r>
      <w:proofErr w:type="spellEnd"/>
      <w:r w:rsidRPr="008C53DC">
        <w:rPr>
          <w:sz w:val="24"/>
          <w:szCs w:val="24"/>
        </w:rPr>
        <w:t xml:space="preserve"> в плазме крови.</w:t>
      </w:r>
    </w:p>
    <w:p w:rsidR="00C043DC" w:rsidRDefault="008C53DC" w:rsidP="008C53DC">
      <w:pPr>
        <w:spacing w:line="360" w:lineRule="auto"/>
        <w:jc w:val="both"/>
        <w:rPr>
          <w:sz w:val="24"/>
          <w:szCs w:val="24"/>
        </w:rPr>
      </w:pPr>
      <w:r w:rsidRPr="008C53DC">
        <w:rPr>
          <w:sz w:val="24"/>
          <w:szCs w:val="24"/>
        </w:rPr>
        <w:t xml:space="preserve">У пациентов с </w:t>
      </w:r>
      <w:proofErr w:type="spellStart"/>
      <w:r w:rsidRPr="008C53DC">
        <w:rPr>
          <w:sz w:val="24"/>
          <w:szCs w:val="24"/>
        </w:rPr>
        <w:t>ДГ</w:t>
      </w:r>
      <w:r w:rsidR="00AE0B5F">
        <w:rPr>
          <w:sz w:val="24"/>
          <w:szCs w:val="24"/>
        </w:rPr>
        <w:t>ПЖ</w:t>
      </w:r>
      <w:proofErr w:type="spellEnd"/>
      <w:r w:rsidRPr="008C53DC">
        <w:rPr>
          <w:sz w:val="24"/>
          <w:szCs w:val="24"/>
        </w:rPr>
        <w:t xml:space="preserve">, которым </w:t>
      </w:r>
      <w:proofErr w:type="spellStart"/>
      <w:r w:rsidRPr="008C53DC">
        <w:rPr>
          <w:sz w:val="24"/>
          <w:szCs w:val="24"/>
        </w:rPr>
        <w:t>финастерид</w:t>
      </w:r>
      <w:proofErr w:type="spellEnd"/>
      <w:r w:rsidRPr="008C53DC">
        <w:rPr>
          <w:sz w:val="24"/>
          <w:szCs w:val="24"/>
        </w:rPr>
        <w:t xml:space="preserve"> в дозе 5 мг в сутки назначался в течение 4 лет, наблюдалось снижение концентрации </w:t>
      </w:r>
      <w:proofErr w:type="spellStart"/>
      <w:r w:rsidRPr="008C53DC">
        <w:rPr>
          <w:sz w:val="24"/>
          <w:szCs w:val="24"/>
        </w:rPr>
        <w:t>ДГТ</w:t>
      </w:r>
      <w:proofErr w:type="spellEnd"/>
      <w:r w:rsidRPr="008C53DC">
        <w:rPr>
          <w:sz w:val="24"/>
          <w:szCs w:val="24"/>
        </w:rPr>
        <w:t xml:space="preserve"> в крови примерно на 70%, которое ассоциировалось с уменьшением объема предстательной железы приблизительно на 20%. Кроме этого, приблизительно на 50% снижалась концентрация простат-специфического антигена (ПСА) по сравнению с его исходной концентрацией, что предполагает уменьшение роста эпителиальных клеток предстательной железы. Снижение концентрации </w:t>
      </w:r>
      <w:proofErr w:type="spellStart"/>
      <w:r w:rsidRPr="008C53DC">
        <w:rPr>
          <w:sz w:val="24"/>
          <w:szCs w:val="24"/>
        </w:rPr>
        <w:t>ДГТ</w:t>
      </w:r>
      <w:proofErr w:type="spellEnd"/>
      <w:r w:rsidRPr="008C53DC">
        <w:rPr>
          <w:sz w:val="24"/>
          <w:szCs w:val="24"/>
        </w:rPr>
        <w:t xml:space="preserve"> и уменьшение выраженности гиперплазии предстательной железы, сопровождающееся снижением концентрации ПСА, сохранялось в исследованиях до 4 лет.</w:t>
      </w:r>
      <w:r w:rsidR="00720E27">
        <w:rPr>
          <w:sz w:val="24"/>
          <w:szCs w:val="24"/>
        </w:rPr>
        <w:t xml:space="preserve"> </w:t>
      </w:r>
      <w:r w:rsidRPr="008C53DC">
        <w:rPr>
          <w:sz w:val="24"/>
          <w:szCs w:val="24"/>
        </w:rPr>
        <w:t>В данных исследованиях содержание тестостерона в крови увеличивалось приблизительно на 10–20%, оставаясь в пред</w:t>
      </w:r>
      <w:r w:rsidR="00D1482C">
        <w:rPr>
          <w:sz w:val="24"/>
          <w:szCs w:val="24"/>
        </w:rPr>
        <w:t>елах физиологических значений. </w:t>
      </w:r>
      <w:r w:rsidRPr="008C53DC">
        <w:rPr>
          <w:sz w:val="24"/>
          <w:szCs w:val="24"/>
        </w:rPr>
        <w:t xml:space="preserve">При применении </w:t>
      </w:r>
      <w:proofErr w:type="spellStart"/>
      <w:r w:rsidR="003512F9">
        <w:rPr>
          <w:sz w:val="24"/>
          <w:szCs w:val="24"/>
        </w:rPr>
        <w:t>финастерида</w:t>
      </w:r>
      <w:proofErr w:type="spellEnd"/>
      <w:r w:rsidR="003512F9">
        <w:rPr>
          <w:sz w:val="24"/>
          <w:szCs w:val="24"/>
        </w:rPr>
        <w:t xml:space="preserve"> </w:t>
      </w:r>
      <w:r w:rsidRPr="008C53DC">
        <w:rPr>
          <w:sz w:val="24"/>
          <w:szCs w:val="24"/>
        </w:rPr>
        <w:t xml:space="preserve">в течение 7–10 дней у пациентов, направленных на </w:t>
      </w:r>
      <w:proofErr w:type="spellStart"/>
      <w:r w:rsidRPr="008C53DC">
        <w:rPr>
          <w:sz w:val="24"/>
          <w:szCs w:val="24"/>
        </w:rPr>
        <w:t>простатэктомию</w:t>
      </w:r>
      <w:proofErr w:type="spellEnd"/>
      <w:r w:rsidRPr="008C53DC">
        <w:rPr>
          <w:sz w:val="24"/>
          <w:szCs w:val="24"/>
        </w:rPr>
        <w:t xml:space="preserve">, произошло снижение концентрации </w:t>
      </w:r>
      <w:proofErr w:type="spellStart"/>
      <w:r w:rsidRPr="008C53DC">
        <w:rPr>
          <w:sz w:val="24"/>
          <w:szCs w:val="24"/>
        </w:rPr>
        <w:t>ДГТ</w:t>
      </w:r>
      <w:proofErr w:type="spellEnd"/>
      <w:r w:rsidRPr="008C53DC">
        <w:rPr>
          <w:sz w:val="24"/>
          <w:szCs w:val="24"/>
        </w:rPr>
        <w:t xml:space="preserve"> в ткани предстательной железы приблизительно на 80% и увеличение концентрации тестостерона в ткани предстательной железы в 10 раз по сравнению с концентрацией до начала лечения. </w:t>
      </w:r>
    </w:p>
    <w:p w:rsidR="00F96926" w:rsidRDefault="008C53DC" w:rsidP="00F96926">
      <w:pPr>
        <w:widowControl w:val="0"/>
        <w:spacing w:line="360" w:lineRule="auto"/>
        <w:jc w:val="both"/>
        <w:rPr>
          <w:sz w:val="24"/>
          <w:szCs w:val="24"/>
        </w:rPr>
      </w:pPr>
      <w:r w:rsidRPr="008C53DC">
        <w:rPr>
          <w:sz w:val="24"/>
          <w:szCs w:val="24"/>
        </w:rPr>
        <w:t xml:space="preserve">Установлено, что длительное (более 4 лет) применение </w:t>
      </w:r>
      <w:proofErr w:type="spellStart"/>
      <w:r w:rsidR="00720E27">
        <w:rPr>
          <w:sz w:val="24"/>
          <w:szCs w:val="24"/>
        </w:rPr>
        <w:t>финастерида</w:t>
      </w:r>
      <w:proofErr w:type="spellEnd"/>
      <w:r w:rsidR="00720E27">
        <w:rPr>
          <w:sz w:val="24"/>
          <w:szCs w:val="24"/>
        </w:rPr>
        <w:t xml:space="preserve"> </w:t>
      </w:r>
      <w:r w:rsidRPr="008C53DC">
        <w:rPr>
          <w:sz w:val="24"/>
          <w:szCs w:val="24"/>
        </w:rPr>
        <w:t xml:space="preserve">у пациентов с </w:t>
      </w:r>
      <w:proofErr w:type="spellStart"/>
      <w:r w:rsidRPr="008C53DC">
        <w:rPr>
          <w:sz w:val="24"/>
          <w:szCs w:val="24"/>
        </w:rPr>
        <w:t>ДГ</w:t>
      </w:r>
      <w:r w:rsidR="00304951">
        <w:rPr>
          <w:sz w:val="24"/>
          <w:szCs w:val="24"/>
        </w:rPr>
        <w:t>ПЖ</w:t>
      </w:r>
      <w:proofErr w:type="spellEnd"/>
      <w:r w:rsidRPr="008C53DC">
        <w:rPr>
          <w:sz w:val="24"/>
          <w:szCs w:val="24"/>
        </w:rPr>
        <w:t xml:space="preserve"> и умеренно выраженных или значительно выраженных симптомах заболевания снижало риск всех урологических осложнений (хирургические вмешательства: </w:t>
      </w:r>
      <w:proofErr w:type="spellStart"/>
      <w:r w:rsidRPr="008C53DC">
        <w:rPr>
          <w:sz w:val="24"/>
          <w:szCs w:val="24"/>
        </w:rPr>
        <w:t>трансуретральная</w:t>
      </w:r>
      <w:proofErr w:type="spellEnd"/>
      <w:r w:rsidRPr="008C53DC">
        <w:rPr>
          <w:sz w:val="24"/>
          <w:szCs w:val="24"/>
        </w:rPr>
        <w:t xml:space="preserve"> резекция предстательной железы или </w:t>
      </w:r>
      <w:proofErr w:type="spellStart"/>
      <w:r w:rsidRPr="008C53DC">
        <w:rPr>
          <w:sz w:val="24"/>
          <w:szCs w:val="24"/>
        </w:rPr>
        <w:t>простатэктомия</w:t>
      </w:r>
      <w:proofErr w:type="spellEnd"/>
      <w:r w:rsidRPr="008C53DC">
        <w:rPr>
          <w:sz w:val="24"/>
          <w:szCs w:val="24"/>
        </w:rPr>
        <w:t xml:space="preserve">; острая задержка мочи, требующая катетеризации) на 51% и сопровождалось выраженным и стойким уменьшением объема предстательной железы, а также стойким увеличением максимальной скорости тока мочи и улучшением симптоматики (Исследование </w:t>
      </w:r>
      <w:proofErr w:type="spellStart"/>
      <w:r w:rsidRPr="008C53DC">
        <w:rPr>
          <w:sz w:val="24"/>
          <w:szCs w:val="24"/>
        </w:rPr>
        <w:t>PLESS</w:t>
      </w:r>
      <w:proofErr w:type="spellEnd"/>
      <w:r w:rsidRPr="008C53DC">
        <w:rPr>
          <w:sz w:val="24"/>
          <w:szCs w:val="24"/>
        </w:rPr>
        <w:t>).</w:t>
      </w:r>
    </w:p>
    <w:p w:rsidR="004001C0" w:rsidRDefault="008C53DC" w:rsidP="00F96926">
      <w:pPr>
        <w:widowControl w:val="0"/>
        <w:spacing w:line="360" w:lineRule="auto"/>
        <w:jc w:val="both"/>
        <w:rPr>
          <w:sz w:val="24"/>
          <w:szCs w:val="24"/>
        </w:rPr>
      </w:pPr>
      <w:r w:rsidRPr="008C53DC">
        <w:rPr>
          <w:sz w:val="24"/>
          <w:szCs w:val="24"/>
        </w:rPr>
        <w:t>У пациентов, принимавших</w:t>
      </w:r>
      <w:r w:rsidR="00D17519">
        <w:rPr>
          <w:sz w:val="24"/>
          <w:szCs w:val="24"/>
        </w:rPr>
        <w:t xml:space="preserve"> </w:t>
      </w:r>
      <w:proofErr w:type="spellStart"/>
      <w:r w:rsidR="00D17519">
        <w:rPr>
          <w:sz w:val="24"/>
          <w:szCs w:val="24"/>
        </w:rPr>
        <w:t>финастерид</w:t>
      </w:r>
      <w:proofErr w:type="spellEnd"/>
      <w:r w:rsidR="00D17519">
        <w:rPr>
          <w:sz w:val="24"/>
          <w:szCs w:val="24"/>
        </w:rPr>
        <w:t xml:space="preserve"> </w:t>
      </w:r>
      <w:r w:rsidRPr="008C53DC">
        <w:rPr>
          <w:sz w:val="24"/>
          <w:szCs w:val="24"/>
        </w:rPr>
        <w:t xml:space="preserve">в течение 3-х месяцев </w:t>
      </w:r>
      <w:r w:rsidR="004001C0">
        <w:rPr>
          <w:sz w:val="24"/>
          <w:szCs w:val="24"/>
        </w:rPr>
        <w:t>пр</w:t>
      </w:r>
      <w:r w:rsidRPr="008C53DC">
        <w:rPr>
          <w:sz w:val="24"/>
          <w:szCs w:val="24"/>
        </w:rPr>
        <w:t>и достижении уменьшения объема предстательной железы приблизительно на 20%, при прекращении лечения объем предстательной железы возвращался к прежним размерам через 3 месяца.</w:t>
      </w:r>
    </w:p>
    <w:p w:rsidR="008C53DC" w:rsidRPr="008C53DC" w:rsidRDefault="008C53DC" w:rsidP="008C53DC">
      <w:pPr>
        <w:spacing w:line="360" w:lineRule="auto"/>
        <w:jc w:val="both"/>
        <w:rPr>
          <w:sz w:val="24"/>
          <w:szCs w:val="24"/>
        </w:rPr>
      </w:pPr>
      <w:r w:rsidRPr="008C53DC">
        <w:rPr>
          <w:sz w:val="24"/>
          <w:szCs w:val="24"/>
        </w:rPr>
        <w:lastRenderedPageBreak/>
        <w:t xml:space="preserve">Таким образом, лечение </w:t>
      </w:r>
      <w:proofErr w:type="spellStart"/>
      <w:r w:rsidR="004001C0">
        <w:rPr>
          <w:sz w:val="24"/>
          <w:szCs w:val="24"/>
        </w:rPr>
        <w:t>финастеридом</w:t>
      </w:r>
      <w:proofErr w:type="spellEnd"/>
      <w:r w:rsidR="004001C0">
        <w:rPr>
          <w:sz w:val="24"/>
          <w:szCs w:val="24"/>
        </w:rPr>
        <w:t xml:space="preserve"> </w:t>
      </w:r>
      <w:r w:rsidRPr="008C53DC">
        <w:rPr>
          <w:sz w:val="24"/>
          <w:szCs w:val="24"/>
        </w:rPr>
        <w:t xml:space="preserve">способствует уменьшению размеров увеличенной предстательной железы, повышает скорость тока мочи и уменьшает симптомы, связанные с </w:t>
      </w:r>
      <w:proofErr w:type="spellStart"/>
      <w:r w:rsidRPr="008C53DC">
        <w:rPr>
          <w:sz w:val="24"/>
          <w:szCs w:val="24"/>
        </w:rPr>
        <w:t>ДГ</w:t>
      </w:r>
      <w:r w:rsidR="004001C0">
        <w:rPr>
          <w:sz w:val="24"/>
          <w:szCs w:val="24"/>
        </w:rPr>
        <w:t>ПЖ</w:t>
      </w:r>
      <w:proofErr w:type="spellEnd"/>
      <w:r w:rsidRPr="008C53DC">
        <w:rPr>
          <w:sz w:val="24"/>
          <w:szCs w:val="24"/>
        </w:rPr>
        <w:t>. </w:t>
      </w:r>
    </w:p>
    <w:p w:rsidR="00264CD3" w:rsidRPr="00B751A1" w:rsidRDefault="00264CD3" w:rsidP="00B751A1">
      <w:pPr>
        <w:widowControl w:val="0"/>
        <w:spacing w:line="360" w:lineRule="auto"/>
        <w:jc w:val="both"/>
        <w:rPr>
          <w:b/>
          <w:i/>
          <w:sz w:val="24"/>
          <w:szCs w:val="24"/>
        </w:rPr>
      </w:pPr>
      <w:r w:rsidRPr="00B751A1">
        <w:rPr>
          <w:b/>
          <w:i/>
          <w:sz w:val="24"/>
          <w:szCs w:val="24"/>
        </w:rPr>
        <w:t>Фармакокинети</w:t>
      </w:r>
      <w:r w:rsidR="00B23E2B" w:rsidRPr="00B751A1">
        <w:rPr>
          <w:b/>
          <w:i/>
          <w:sz w:val="24"/>
          <w:szCs w:val="24"/>
        </w:rPr>
        <w:t>к</w:t>
      </w:r>
      <w:r w:rsidRPr="00B751A1">
        <w:rPr>
          <w:b/>
          <w:i/>
          <w:sz w:val="24"/>
          <w:szCs w:val="24"/>
        </w:rPr>
        <w:t>а</w:t>
      </w:r>
    </w:p>
    <w:p w:rsidR="00D1482C" w:rsidRDefault="00FF6BC3" w:rsidP="00FF6BC3">
      <w:pPr>
        <w:spacing w:line="360" w:lineRule="auto"/>
        <w:jc w:val="both"/>
        <w:rPr>
          <w:sz w:val="24"/>
          <w:szCs w:val="24"/>
        </w:rPr>
      </w:pPr>
      <w:r w:rsidRPr="00FF6BC3">
        <w:rPr>
          <w:i/>
          <w:sz w:val="24"/>
          <w:szCs w:val="24"/>
        </w:rPr>
        <w:t>Абсорбция</w:t>
      </w:r>
      <w:r w:rsidR="00D1482C">
        <w:rPr>
          <w:sz w:val="24"/>
          <w:szCs w:val="24"/>
        </w:rPr>
        <w:t> </w:t>
      </w:r>
    </w:p>
    <w:p w:rsidR="00FF6BC3" w:rsidRDefault="00FF6BC3" w:rsidP="00FF6BC3">
      <w:pPr>
        <w:spacing w:line="360" w:lineRule="auto"/>
        <w:jc w:val="both"/>
        <w:rPr>
          <w:sz w:val="24"/>
          <w:szCs w:val="24"/>
        </w:rPr>
      </w:pPr>
      <w:r w:rsidRPr="00FF6BC3">
        <w:rPr>
          <w:sz w:val="24"/>
          <w:szCs w:val="24"/>
        </w:rPr>
        <w:t xml:space="preserve">Максимальная концентрация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в плазме крови достигается приблизительно через 2 часа после приема внутрь. Абсорбция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из желудочно-кишечного тракта завершается через 6–8 часов после приема внутрь.</w:t>
      </w:r>
      <w:r w:rsidR="00B316CE">
        <w:rPr>
          <w:sz w:val="24"/>
          <w:szCs w:val="24"/>
        </w:rPr>
        <w:t xml:space="preserve"> </w:t>
      </w:r>
      <w:r w:rsidRPr="00FF6BC3">
        <w:rPr>
          <w:sz w:val="24"/>
          <w:szCs w:val="24"/>
        </w:rPr>
        <w:t xml:space="preserve">Биодоступность </w:t>
      </w:r>
      <w:r w:rsidR="00B316CE">
        <w:rPr>
          <w:sz w:val="24"/>
          <w:szCs w:val="24"/>
        </w:rPr>
        <w:t xml:space="preserve">составляет около </w:t>
      </w:r>
      <w:r w:rsidRPr="00FF6BC3">
        <w:rPr>
          <w:sz w:val="24"/>
          <w:szCs w:val="24"/>
        </w:rPr>
        <w:t>80% и</w:t>
      </w:r>
      <w:r w:rsidR="00B316CE">
        <w:rPr>
          <w:sz w:val="24"/>
          <w:szCs w:val="24"/>
        </w:rPr>
        <w:t> </w:t>
      </w:r>
      <w:r w:rsidRPr="00FF6BC3">
        <w:rPr>
          <w:sz w:val="24"/>
          <w:szCs w:val="24"/>
        </w:rPr>
        <w:t>не зависит от приема пищи.</w:t>
      </w:r>
    </w:p>
    <w:p w:rsidR="00FF6BC3" w:rsidRDefault="00FF6BC3" w:rsidP="00FF6BC3">
      <w:pPr>
        <w:spacing w:line="360" w:lineRule="auto"/>
        <w:jc w:val="both"/>
        <w:rPr>
          <w:i/>
          <w:sz w:val="24"/>
          <w:szCs w:val="24"/>
        </w:rPr>
      </w:pPr>
      <w:r w:rsidRPr="00FF6BC3">
        <w:rPr>
          <w:i/>
          <w:sz w:val="24"/>
          <w:szCs w:val="24"/>
        </w:rPr>
        <w:t>Распределение</w:t>
      </w:r>
    </w:p>
    <w:p w:rsidR="007138E0" w:rsidRDefault="00FF6BC3" w:rsidP="00FF6BC3">
      <w:pPr>
        <w:spacing w:line="360" w:lineRule="auto"/>
        <w:jc w:val="both"/>
        <w:rPr>
          <w:sz w:val="24"/>
          <w:szCs w:val="24"/>
        </w:rPr>
      </w:pPr>
      <w:r w:rsidRPr="00FF6BC3">
        <w:rPr>
          <w:sz w:val="24"/>
          <w:szCs w:val="24"/>
        </w:rPr>
        <w:t>Связь с белками плазмы крови составляет приблизительно 93%. Плазменный клиренс составляет около 165 мл/</w:t>
      </w:r>
      <w:r w:rsidR="007138E0">
        <w:rPr>
          <w:sz w:val="24"/>
          <w:szCs w:val="24"/>
        </w:rPr>
        <w:t xml:space="preserve">мин., объем распределения – </w:t>
      </w:r>
      <w:r w:rsidRPr="00FF6BC3">
        <w:rPr>
          <w:sz w:val="24"/>
          <w:szCs w:val="24"/>
        </w:rPr>
        <w:t>76 л. </w:t>
      </w:r>
    </w:p>
    <w:p w:rsidR="00CC10A5" w:rsidRDefault="00FF6BC3" w:rsidP="00FF6BC3">
      <w:pPr>
        <w:spacing w:line="360" w:lineRule="auto"/>
        <w:jc w:val="both"/>
        <w:rPr>
          <w:sz w:val="24"/>
          <w:szCs w:val="24"/>
        </w:rPr>
      </w:pPr>
      <w:r w:rsidRPr="00FF6BC3">
        <w:rPr>
          <w:sz w:val="24"/>
          <w:szCs w:val="24"/>
        </w:rPr>
        <w:t xml:space="preserve">При длительной терапии наблюдается медленное накопление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в небольших количествах. При ежедневном приеме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внутрь в дозе 5 мг его минимальная равновесная концентрация в плазме крови достигает 8–10 </w:t>
      </w:r>
      <w:proofErr w:type="spellStart"/>
      <w:r w:rsidRPr="00FF6BC3">
        <w:rPr>
          <w:sz w:val="24"/>
          <w:szCs w:val="24"/>
        </w:rPr>
        <w:t>нг</w:t>
      </w:r>
      <w:proofErr w:type="spellEnd"/>
      <w:r w:rsidRPr="00FF6BC3">
        <w:rPr>
          <w:sz w:val="24"/>
          <w:szCs w:val="24"/>
        </w:rPr>
        <w:t>/мл и с течением времени остается стабильной.</w:t>
      </w:r>
    </w:p>
    <w:p w:rsidR="009667C2" w:rsidRDefault="00FF6BC3" w:rsidP="00FF6BC3">
      <w:pPr>
        <w:spacing w:line="360" w:lineRule="auto"/>
        <w:jc w:val="both"/>
        <w:rPr>
          <w:sz w:val="24"/>
          <w:szCs w:val="24"/>
        </w:rPr>
      </w:pPr>
      <w:r w:rsidRPr="00FF6BC3">
        <w:rPr>
          <w:sz w:val="24"/>
          <w:szCs w:val="24"/>
        </w:rPr>
        <w:t xml:space="preserve">У пациентов, получавших </w:t>
      </w:r>
      <w:proofErr w:type="spellStart"/>
      <w:r w:rsidRPr="00FF6BC3">
        <w:rPr>
          <w:sz w:val="24"/>
          <w:szCs w:val="24"/>
        </w:rPr>
        <w:t>финастерид</w:t>
      </w:r>
      <w:proofErr w:type="spellEnd"/>
      <w:r w:rsidRPr="00FF6BC3">
        <w:rPr>
          <w:sz w:val="24"/>
          <w:szCs w:val="24"/>
        </w:rPr>
        <w:t xml:space="preserve"> в течение 7–10 дней, препарат обнаруживался в спинномозговой жидкости. При приеме </w:t>
      </w:r>
      <w:proofErr w:type="spellStart"/>
      <w:r w:rsidR="00D60AAF">
        <w:rPr>
          <w:sz w:val="24"/>
          <w:szCs w:val="24"/>
        </w:rPr>
        <w:t>финастерида</w:t>
      </w:r>
      <w:proofErr w:type="spellEnd"/>
      <w:r w:rsidR="00D60AAF">
        <w:rPr>
          <w:sz w:val="24"/>
          <w:szCs w:val="24"/>
        </w:rPr>
        <w:t xml:space="preserve"> </w:t>
      </w:r>
      <w:r w:rsidRPr="00FF6BC3">
        <w:rPr>
          <w:sz w:val="24"/>
          <w:szCs w:val="24"/>
        </w:rPr>
        <w:t xml:space="preserve">в дозе 5 мг в сутки </w:t>
      </w:r>
      <w:proofErr w:type="spellStart"/>
      <w:r w:rsidRPr="00FF6BC3">
        <w:rPr>
          <w:sz w:val="24"/>
          <w:szCs w:val="24"/>
        </w:rPr>
        <w:t>финастерид</w:t>
      </w:r>
      <w:proofErr w:type="spellEnd"/>
      <w:r w:rsidRPr="00FF6BC3">
        <w:rPr>
          <w:sz w:val="24"/>
          <w:szCs w:val="24"/>
        </w:rPr>
        <w:t xml:space="preserve"> обнаруживается также в семенной жидкости. Содержание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в семенной жидкости было в 50</w:t>
      </w:r>
      <w:r w:rsidR="00EE427E">
        <w:rPr>
          <w:sz w:val="24"/>
          <w:szCs w:val="24"/>
        </w:rPr>
        <w:t>-</w:t>
      </w:r>
      <w:r w:rsidRPr="00FF6BC3">
        <w:rPr>
          <w:sz w:val="24"/>
          <w:szCs w:val="24"/>
        </w:rPr>
        <w:t xml:space="preserve">100 раз меньше </w:t>
      </w:r>
      <w:r w:rsidR="009667C2">
        <w:rPr>
          <w:sz w:val="24"/>
          <w:szCs w:val="24"/>
        </w:rPr>
        <w:t xml:space="preserve">принятой </w:t>
      </w:r>
      <w:r w:rsidRPr="00FF6BC3">
        <w:rPr>
          <w:sz w:val="24"/>
          <w:szCs w:val="24"/>
        </w:rPr>
        <w:t xml:space="preserve">дозы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="009667C2">
        <w:rPr>
          <w:sz w:val="24"/>
          <w:szCs w:val="24"/>
        </w:rPr>
        <w:t xml:space="preserve">. </w:t>
      </w:r>
    </w:p>
    <w:p w:rsidR="00D1482C" w:rsidRDefault="00FF6BC3" w:rsidP="00740FFC">
      <w:pPr>
        <w:widowControl w:val="0"/>
        <w:spacing w:line="360" w:lineRule="auto"/>
        <w:jc w:val="both"/>
        <w:rPr>
          <w:sz w:val="24"/>
          <w:szCs w:val="24"/>
        </w:rPr>
      </w:pPr>
      <w:r w:rsidRPr="00295CC2">
        <w:rPr>
          <w:i/>
          <w:sz w:val="24"/>
          <w:szCs w:val="24"/>
        </w:rPr>
        <w:t>Метаболизм</w:t>
      </w:r>
      <w:r w:rsidR="00D1482C">
        <w:rPr>
          <w:sz w:val="24"/>
          <w:szCs w:val="24"/>
        </w:rPr>
        <w:t> </w:t>
      </w:r>
    </w:p>
    <w:p w:rsidR="00D1482C" w:rsidRDefault="00FF6BC3" w:rsidP="00740FFC">
      <w:pPr>
        <w:widowControl w:val="0"/>
        <w:spacing w:line="360" w:lineRule="auto"/>
        <w:jc w:val="both"/>
        <w:rPr>
          <w:sz w:val="24"/>
          <w:szCs w:val="24"/>
        </w:rPr>
      </w:pPr>
      <w:r w:rsidRPr="00FF6BC3">
        <w:rPr>
          <w:sz w:val="24"/>
          <w:szCs w:val="24"/>
        </w:rPr>
        <w:t>Период полувыведения (</w:t>
      </w:r>
      <w:proofErr w:type="spellStart"/>
      <w:r w:rsidRPr="00FF6BC3">
        <w:rPr>
          <w:sz w:val="24"/>
          <w:szCs w:val="24"/>
        </w:rPr>
        <w:t>Т</w:t>
      </w:r>
      <w:r w:rsidRPr="00295CC2">
        <w:rPr>
          <w:sz w:val="24"/>
          <w:szCs w:val="24"/>
          <w:vertAlign w:val="subscript"/>
        </w:rPr>
        <w:t>1</w:t>
      </w:r>
      <w:proofErr w:type="spellEnd"/>
      <w:r w:rsidRPr="00295CC2">
        <w:rPr>
          <w:sz w:val="24"/>
          <w:szCs w:val="24"/>
          <w:vertAlign w:val="subscript"/>
        </w:rPr>
        <w:t>/2</w:t>
      </w:r>
      <w:r w:rsidRPr="00FF6BC3">
        <w:rPr>
          <w:sz w:val="24"/>
          <w:szCs w:val="24"/>
        </w:rPr>
        <w:t xml:space="preserve">)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в среднем </w:t>
      </w:r>
      <w:r w:rsidR="00295CC2">
        <w:rPr>
          <w:sz w:val="24"/>
          <w:szCs w:val="24"/>
        </w:rPr>
        <w:t>составляет 6 часов</w:t>
      </w:r>
      <w:r w:rsidRPr="00FF6BC3">
        <w:rPr>
          <w:sz w:val="24"/>
          <w:szCs w:val="24"/>
        </w:rPr>
        <w:t>. </w:t>
      </w:r>
    </w:p>
    <w:p w:rsidR="00D1482C" w:rsidRDefault="00FF6BC3" w:rsidP="00740FFC">
      <w:pPr>
        <w:widowControl w:val="0"/>
        <w:spacing w:line="360" w:lineRule="auto"/>
        <w:jc w:val="both"/>
        <w:rPr>
          <w:sz w:val="24"/>
          <w:szCs w:val="24"/>
        </w:rPr>
      </w:pPr>
      <w:r w:rsidRPr="00062463">
        <w:rPr>
          <w:i/>
          <w:sz w:val="24"/>
          <w:szCs w:val="24"/>
        </w:rPr>
        <w:t>Выведение</w:t>
      </w:r>
      <w:r w:rsidR="00D1482C">
        <w:rPr>
          <w:sz w:val="24"/>
          <w:szCs w:val="24"/>
        </w:rPr>
        <w:t> </w:t>
      </w:r>
    </w:p>
    <w:p w:rsidR="00740FFC" w:rsidRDefault="00FF6BC3" w:rsidP="00740FFC">
      <w:pPr>
        <w:widowControl w:val="0"/>
        <w:spacing w:line="360" w:lineRule="auto"/>
        <w:jc w:val="both"/>
        <w:rPr>
          <w:sz w:val="24"/>
          <w:szCs w:val="24"/>
        </w:rPr>
      </w:pPr>
      <w:r w:rsidRPr="00FF6BC3">
        <w:rPr>
          <w:sz w:val="24"/>
          <w:szCs w:val="24"/>
        </w:rPr>
        <w:t xml:space="preserve">У мужчин после однократного приема внутрь дозы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>, меченного </w:t>
      </w:r>
      <w:proofErr w:type="spellStart"/>
      <w:r w:rsidRPr="00AE1B7F">
        <w:rPr>
          <w:sz w:val="24"/>
          <w:szCs w:val="24"/>
          <w:vertAlign w:val="superscript"/>
        </w:rPr>
        <w:t>14</w:t>
      </w:r>
      <w:r w:rsidRPr="00FF6BC3">
        <w:rPr>
          <w:sz w:val="24"/>
          <w:szCs w:val="24"/>
        </w:rPr>
        <w:t>С</w:t>
      </w:r>
      <w:proofErr w:type="spellEnd"/>
      <w:r w:rsidRPr="00FF6BC3">
        <w:rPr>
          <w:sz w:val="24"/>
          <w:szCs w:val="24"/>
        </w:rPr>
        <w:t>, 39%</w:t>
      </w:r>
      <w:r w:rsidR="00AE1B7F">
        <w:rPr>
          <w:sz w:val="24"/>
          <w:szCs w:val="24"/>
        </w:rPr>
        <w:t> </w:t>
      </w:r>
      <w:r w:rsidRPr="00FF6BC3">
        <w:rPr>
          <w:sz w:val="24"/>
          <w:szCs w:val="24"/>
        </w:rPr>
        <w:t xml:space="preserve">принятой дозы выводится почками в виде метаболитов (неизмененный </w:t>
      </w:r>
      <w:proofErr w:type="spellStart"/>
      <w:r w:rsidRPr="00FF6BC3">
        <w:rPr>
          <w:sz w:val="24"/>
          <w:szCs w:val="24"/>
        </w:rPr>
        <w:t>финастерид</w:t>
      </w:r>
      <w:proofErr w:type="spellEnd"/>
      <w:r w:rsidRPr="00FF6BC3">
        <w:rPr>
          <w:sz w:val="24"/>
          <w:szCs w:val="24"/>
        </w:rPr>
        <w:t xml:space="preserve"> практически не выводится почками); 57%</w:t>
      </w:r>
      <w:r w:rsidR="00AE1B7F">
        <w:rPr>
          <w:sz w:val="24"/>
          <w:szCs w:val="24"/>
        </w:rPr>
        <w:t xml:space="preserve"> – </w:t>
      </w:r>
      <w:r w:rsidRPr="00FF6BC3">
        <w:rPr>
          <w:sz w:val="24"/>
          <w:szCs w:val="24"/>
        </w:rPr>
        <w:t xml:space="preserve">через кишечник. В данном исследовании были идентифицированы 2 метаболита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, которые обладают незначительным ингибирующим действием в отношении 5-альфа </w:t>
      </w:r>
      <w:proofErr w:type="spellStart"/>
      <w:r w:rsidRPr="00FF6BC3">
        <w:rPr>
          <w:sz w:val="24"/>
          <w:szCs w:val="24"/>
        </w:rPr>
        <w:t>редуктазы</w:t>
      </w:r>
      <w:proofErr w:type="spellEnd"/>
      <w:r w:rsidRPr="00FF6BC3">
        <w:rPr>
          <w:sz w:val="24"/>
          <w:szCs w:val="24"/>
        </w:rPr>
        <w:t xml:space="preserve"> по сравнению с </w:t>
      </w:r>
      <w:proofErr w:type="spellStart"/>
      <w:r w:rsidRPr="00FF6BC3">
        <w:rPr>
          <w:sz w:val="24"/>
          <w:szCs w:val="24"/>
        </w:rPr>
        <w:t>финастеридом</w:t>
      </w:r>
      <w:proofErr w:type="spellEnd"/>
      <w:r w:rsidRPr="00FF6BC3">
        <w:rPr>
          <w:sz w:val="24"/>
          <w:szCs w:val="24"/>
        </w:rPr>
        <w:t>.</w:t>
      </w:r>
    </w:p>
    <w:p w:rsidR="00740FFC" w:rsidRDefault="00FF6BC3" w:rsidP="00740FFC">
      <w:pPr>
        <w:widowControl w:val="0"/>
        <w:spacing w:line="360" w:lineRule="auto"/>
        <w:jc w:val="both"/>
        <w:rPr>
          <w:sz w:val="24"/>
          <w:szCs w:val="24"/>
        </w:rPr>
      </w:pPr>
      <w:r w:rsidRPr="00FF6BC3">
        <w:rPr>
          <w:sz w:val="24"/>
          <w:szCs w:val="24"/>
        </w:rPr>
        <w:t xml:space="preserve">В пожилом возрасте скорость выведения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несколько снижается. С возрастом </w:t>
      </w:r>
      <w:proofErr w:type="spellStart"/>
      <w:r w:rsidRPr="00FF6BC3">
        <w:rPr>
          <w:sz w:val="24"/>
          <w:szCs w:val="24"/>
        </w:rPr>
        <w:t>Т</w:t>
      </w:r>
      <w:r w:rsidRPr="00740FFC">
        <w:rPr>
          <w:sz w:val="24"/>
          <w:szCs w:val="24"/>
          <w:vertAlign w:val="subscript"/>
        </w:rPr>
        <w:t>1</w:t>
      </w:r>
      <w:proofErr w:type="spellEnd"/>
      <w:r w:rsidRPr="00740FFC">
        <w:rPr>
          <w:sz w:val="24"/>
          <w:szCs w:val="24"/>
          <w:vertAlign w:val="subscript"/>
        </w:rPr>
        <w:t>/2</w:t>
      </w:r>
      <w:r w:rsidRPr="00FF6BC3">
        <w:rPr>
          <w:sz w:val="24"/>
          <w:szCs w:val="24"/>
        </w:rPr>
        <w:t xml:space="preserve"> увеличивается: у мужчин 18–60 лет средний </w:t>
      </w:r>
      <w:proofErr w:type="spellStart"/>
      <w:r w:rsidRPr="00FF6BC3">
        <w:rPr>
          <w:sz w:val="24"/>
          <w:szCs w:val="24"/>
        </w:rPr>
        <w:t>Т</w:t>
      </w:r>
      <w:r w:rsidRPr="00740FFC">
        <w:rPr>
          <w:sz w:val="24"/>
          <w:szCs w:val="24"/>
          <w:vertAlign w:val="subscript"/>
        </w:rPr>
        <w:t>1</w:t>
      </w:r>
      <w:proofErr w:type="spellEnd"/>
      <w:r w:rsidRPr="00740FFC">
        <w:rPr>
          <w:sz w:val="24"/>
          <w:szCs w:val="24"/>
          <w:vertAlign w:val="subscript"/>
        </w:rPr>
        <w:t>/2</w:t>
      </w:r>
      <w:r w:rsidRPr="00FF6BC3">
        <w:rPr>
          <w:sz w:val="24"/>
          <w:szCs w:val="24"/>
        </w:rPr>
        <w:t> составляет 6 часов, а у мужчин старше 70 лет — 8 часов. Данные изменения не имеют клинической значимости, и, следовательно, снижения дозы препарата у мужчин пожилого возраста не требуется.</w:t>
      </w:r>
    </w:p>
    <w:p w:rsidR="006C2EB0" w:rsidRDefault="00FF6BC3" w:rsidP="00740FFC">
      <w:pPr>
        <w:widowControl w:val="0"/>
        <w:spacing w:line="360" w:lineRule="auto"/>
        <w:jc w:val="both"/>
        <w:rPr>
          <w:sz w:val="24"/>
          <w:szCs w:val="24"/>
        </w:rPr>
      </w:pPr>
      <w:r w:rsidRPr="00FF6BC3">
        <w:rPr>
          <w:sz w:val="24"/>
          <w:szCs w:val="24"/>
        </w:rPr>
        <w:t xml:space="preserve">У пациентов с хронической почечной недостаточностью (клиренс </w:t>
      </w:r>
      <w:proofErr w:type="spellStart"/>
      <w:r w:rsidRPr="00FF6BC3">
        <w:rPr>
          <w:sz w:val="24"/>
          <w:szCs w:val="24"/>
        </w:rPr>
        <w:t>креатинина</w:t>
      </w:r>
      <w:proofErr w:type="spellEnd"/>
      <w:r w:rsidRPr="00FF6BC3">
        <w:rPr>
          <w:sz w:val="24"/>
          <w:szCs w:val="24"/>
        </w:rPr>
        <w:t xml:space="preserve"> (</w:t>
      </w:r>
      <w:proofErr w:type="spellStart"/>
      <w:r w:rsidRPr="00FF6BC3">
        <w:rPr>
          <w:sz w:val="24"/>
          <w:szCs w:val="24"/>
        </w:rPr>
        <w:t>КК</w:t>
      </w:r>
      <w:proofErr w:type="spellEnd"/>
      <w:r w:rsidRPr="00FF6BC3">
        <w:rPr>
          <w:sz w:val="24"/>
          <w:szCs w:val="24"/>
        </w:rPr>
        <w:t xml:space="preserve">) от 9 до 55 мл/мин) распределение меченного </w:t>
      </w:r>
      <w:proofErr w:type="spellStart"/>
      <w:r w:rsidRPr="006C2EB0">
        <w:rPr>
          <w:sz w:val="24"/>
          <w:szCs w:val="24"/>
          <w:vertAlign w:val="superscript"/>
        </w:rPr>
        <w:t>14</w:t>
      </w:r>
      <w:r w:rsidRPr="00FF6BC3">
        <w:rPr>
          <w:sz w:val="24"/>
          <w:szCs w:val="24"/>
        </w:rPr>
        <w:t>С</w:t>
      </w:r>
      <w:proofErr w:type="spellEnd"/>
      <w:r w:rsidRPr="00FF6BC3">
        <w:rPr>
          <w:sz w:val="24"/>
          <w:szCs w:val="24"/>
        </w:rPr>
        <w:t xml:space="preserve">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при приеме однократной дозы не отличалось от такового у здоровых добровольцев. Связь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с белкам</w:t>
      </w:r>
      <w:r w:rsidR="006C2EB0">
        <w:rPr>
          <w:sz w:val="24"/>
          <w:szCs w:val="24"/>
        </w:rPr>
        <w:t>и плазмы крови также не отличала</w:t>
      </w:r>
      <w:r w:rsidRPr="00FF6BC3">
        <w:rPr>
          <w:sz w:val="24"/>
          <w:szCs w:val="24"/>
        </w:rPr>
        <w:t>сь у пациентов с нарушением функции почек.</w:t>
      </w:r>
    </w:p>
    <w:p w:rsidR="00FF6BC3" w:rsidRPr="00FF6BC3" w:rsidRDefault="00FF6BC3" w:rsidP="00740FFC">
      <w:pPr>
        <w:widowControl w:val="0"/>
        <w:spacing w:line="360" w:lineRule="auto"/>
        <w:jc w:val="both"/>
        <w:rPr>
          <w:sz w:val="24"/>
          <w:szCs w:val="24"/>
        </w:rPr>
      </w:pPr>
      <w:r w:rsidRPr="00FF6BC3">
        <w:rPr>
          <w:sz w:val="24"/>
          <w:szCs w:val="24"/>
        </w:rPr>
        <w:t xml:space="preserve">При почечной недостаточности часть метаболитов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, которая в норме </w:t>
      </w:r>
      <w:proofErr w:type="spellStart"/>
      <w:r w:rsidRPr="00FF6BC3">
        <w:rPr>
          <w:sz w:val="24"/>
          <w:szCs w:val="24"/>
        </w:rPr>
        <w:t>экскретируется</w:t>
      </w:r>
      <w:proofErr w:type="spellEnd"/>
      <w:r w:rsidRPr="00FF6BC3">
        <w:rPr>
          <w:sz w:val="24"/>
          <w:szCs w:val="24"/>
        </w:rPr>
        <w:t xml:space="preserve"> почками, выводится через кишечник. Это проявляется увеличением количества метаболитов </w:t>
      </w:r>
      <w:proofErr w:type="spellStart"/>
      <w:r w:rsidRPr="00FF6BC3">
        <w:rPr>
          <w:sz w:val="24"/>
          <w:szCs w:val="24"/>
        </w:rPr>
        <w:t>финастерида</w:t>
      </w:r>
      <w:proofErr w:type="spellEnd"/>
      <w:r w:rsidRPr="00FF6BC3">
        <w:rPr>
          <w:sz w:val="24"/>
          <w:szCs w:val="24"/>
        </w:rPr>
        <w:t xml:space="preserve"> в кале при соответствующем снижении их концентрации в моче. У пациентов с почечной недостаточностью, находящихся на диализе, коррекции дозы </w:t>
      </w:r>
      <w:proofErr w:type="spellStart"/>
      <w:r w:rsidR="00CF71A4">
        <w:rPr>
          <w:sz w:val="24"/>
          <w:szCs w:val="24"/>
        </w:rPr>
        <w:t>финастерида</w:t>
      </w:r>
      <w:proofErr w:type="spellEnd"/>
      <w:r w:rsidR="00CF71A4">
        <w:rPr>
          <w:sz w:val="24"/>
          <w:szCs w:val="24"/>
        </w:rPr>
        <w:t xml:space="preserve"> не </w:t>
      </w:r>
      <w:r w:rsidRPr="00FF6BC3">
        <w:rPr>
          <w:sz w:val="24"/>
          <w:szCs w:val="24"/>
        </w:rPr>
        <w:t>требуется.</w:t>
      </w:r>
    </w:p>
    <w:p w:rsidR="00264CD3" w:rsidRPr="00B751A1" w:rsidRDefault="00264CD3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П</w:t>
      </w:r>
      <w:r w:rsidR="00525D99" w:rsidRPr="00B751A1">
        <w:rPr>
          <w:b/>
          <w:sz w:val="24"/>
          <w:szCs w:val="24"/>
        </w:rPr>
        <w:t>оказания к применению</w:t>
      </w:r>
    </w:p>
    <w:p w:rsidR="009C0790" w:rsidRPr="00B751A1" w:rsidRDefault="009C0790" w:rsidP="00B751A1">
      <w:pPr>
        <w:pStyle w:val="a3"/>
        <w:widowControl w:val="0"/>
        <w:spacing w:line="360" w:lineRule="auto"/>
        <w:jc w:val="both"/>
        <w:rPr>
          <w:szCs w:val="24"/>
          <w:u w:val="none"/>
        </w:rPr>
      </w:pPr>
      <w:r w:rsidRPr="00B751A1">
        <w:rPr>
          <w:szCs w:val="24"/>
          <w:u w:val="none"/>
        </w:rPr>
        <w:t xml:space="preserve">Лечение </w:t>
      </w:r>
      <w:r w:rsidR="00055946">
        <w:rPr>
          <w:szCs w:val="24"/>
          <w:u w:val="none"/>
        </w:rPr>
        <w:t xml:space="preserve">и контроль </w:t>
      </w:r>
      <w:proofErr w:type="spellStart"/>
      <w:r w:rsidR="00055946">
        <w:rPr>
          <w:szCs w:val="24"/>
          <w:u w:val="none"/>
        </w:rPr>
        <w:t>ЖГПЖ</w:t>
      </w:r>
      <w:proofErr w:type="spellEnd"/>
      <w:r w:rsidR="00055946">
        <w:rPr>
          <w:szCs w:val="24"/>
          <w:u w:val="none"/>
        </w:rPr>
        <w:t xml:space="preserve">, профилактика урологических осложнений </w:t>
      </w:r>
      <w:r w:rsidR="00055946" w:rsidRPr="00B751A1">
        <w:rPr>
          <w:szCs w:val="24"/>
          <w:u w:val="none"/>
        </w:rPr>
        <w:t>с</w:t>
      </w:r>
      <w:r w:rsidRPr="00B751A1">
        <w:rPr>
          <w:szCs w:val="24"/>
          <w:u w:val="none"/>
        </w:rPr>
        <w:t xml:space="preserve"> целью:</w:t>
      </w:r>
    </w:p>
    <w:p w:rsidR="00055946" w:rsidRDefault="00055946" w:rsidP="00B751A1">
      <w:pPr>
        <w:pStyle w:val="a3"/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Cs w:val="24"/>
          <w:u w:val="none"/>
        </w:rPr>
      </w:pPr>
      <w:r w:rsidRPr="00B751A1">
        <w:rPr>
          <w:szCs w:val="24"/>
          <w:u w:val="none"/>
        </w:rPr>
        <w:t>снижение риска острой задержки мочи</w:t>
      </w:r>
      <w:r>
        <w:rPr>
          <w:szCs w:val="24"/>
          <w:u w:val="none"/>
        </w:rPr>
        <w:t>;</w:t>
      </w:r>
    </w:p>
    <w:p w:rsidR="00055946" w:rsidRDefault="00055946" w:rsidP="00B751A1">
      <w:pPr>
        <w:pStyle w:val="a3"/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Cs w:val="24"/>
          <w:u w:val="none"/>
        </w:rPr>
      </w:pPr>
      <w:r w:rsidRPr="00B751A1">
        <w:rPr>
          <w:szCs w:val="24"/>
          <w:u w:val="none"/>
        </w:rPr>
        <w:t>снижение риска</w:t>
      </w:r>
      <w:r>
        <w:rPr>
          <w:szCs w:val="24"/>
          <w:u w:val="none"/>
        </w:rPr>
        <w:t xml:space="preserve"> необходимости проведения </w:t>
      </w:r>
      <w:r w:rsidRPr="00B751A1">
        <w:rPr>
          <w:szCs w:val="24"/>
          <w:u w:val="none"/>
        </w:rPr>
        <w:t>хирургическ</w:t>
      </w:r>
      <w:r>
        <w:rPr>
          <w:szCs w:val="24"/>
          <w:u w:val="none"/>
        </w:rPr>
        <w:t xml:space="preserve">их вмешательств, в том числе </w:t>
      </w:r>
      <w:proofErr w:type="spellStart"/>
      <w:r w:rsidRPr="00B751A1">
        <w:rPr>
          <w:szCs w:val="24"/>
          <w:u w:val="none"/>
        </w:rPr>
        <w:t>трансуретральн</w:t>
      </w:r>
      <w:r>
        <w:rPr>
          <w:szCs w:val="24"/>
          <w:u w:val="none"/>
        </w:rPr>
        <w:t>ой</w:t>
      </w:r>
      <w:proofErr w:type="spellEnd"/>
      <w:r w:rsidRPr="00B751A1">
        <w:rPr>
          <w:szCs w:val="24"/>
          <w:u w:val="none"/>
        </w:rPr>
        <w:t xml:space="preserve"> резекци</w:t>
      </w:r>
      <w:r>
        <w:rPr>
          <w:szCs w:val="24"/>
          <w:u w:val="none"/>
        </w:rPr>
        <w:t>и</w:t>
      </w:r>
      <w:r w:rsidRPr="00B751A1">
        <w:rPr>
          <w:szCs w:val="24"/>
          <w:u w:val="none"/>
        </w:rPr>
        <w:t xml:space="preserve"> предстательной железы (</w:t>
      </w:r>
      <w:proofErr w:type="spellStart"/>
      <w:r w:rsidRPr="00B751A1">
        <w:rPr>
          <w:szCs w:val="24"/>
          <w:u w:val="none"/>
        </w:rPr>
        <w:t>ТУРП</w:t>
      </w:r>
      <w:proofErr w:type="spellEnd"/>
      <w:r w:rsidRPr="00B751A1">
        <w:rPr>
          <w:szCs w:val="24"/>
          <w:u w:val="none"/>
        </w:rPr>
        <w:t xml:space="preserve">) и </w:t>
      </w:r>
      <w:proofErr w:type="spellStart"/>
      <w:r w:rsidRPr="00B751A1">
        <w:rPr>
          <w:szCs w:val="24"/>
          <w:u w:val="none"/>
        </w:rPr>
        <w:t>простатэктоми</w:t>
      </w:r>
      <w:r>
        <w:rPr>
          <w:szCs w:val="24"/>
          <w:u w:val="none"/>
        </w:rPr>
        <w:t>и</w:t>
      </w:r>
      <w:proofErr w:type="spellEnd"/>
      <w:r w:rsidRPr="00B751A1">
        <w:rPr>
          <w:szCs w:val="24"/>
          <w:u w:val="none"/>
        </w:rPr>
        <w:t>.</w:t>
      </w:r>
    </w:p>
    <w:p w:rsidR="009C0790" w:rsidRDefault="00055946" w:rsidP="00055946">
      <w:pPr>
        <w:pStyle w:val="a3"/>
        <w:widowControl w:val="0"/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 xml:space="preserve">Лечение с целью </w:t>
      </w:r>
      <w:r w:rsidR="009C0790" w:rsidRPr="00B751A1">
        <w:rPr>
          <w:szCs w:val="24"/>
          <w:u w:val="none"/>
        </w:rPr>
        <w:t xml:space="preserve">уменьшения </w:t>
      </w:r>
      <w:r w:rsidR="00553AD5" w:rsidRPr="00B751A1">
        <w:rPr>
          <w:szCs w:val="24"/>
          <w:u w:val="none"/>
        </w:rPr>
        <w:t xml:space="preserve">размеров </w:t>
      </w:r>
      <w:r>
        <w:rPr>
          <w:szCs w:val="24"/>
          <w:u w:val="none"/>
        </w:rPr>
        <w:t xml:space="preserve">увеличенной </w:t>
      </w:r>
      <w:r w:rsidR="00553AD5" w:rsidRPr="00B751A1">
        <w:rPr>
          <w:szCs w:val="24"/>
          <w:u w:val="none"/>
        </w:rPr>
        <w:t>предстательной железы</w:t>
      </w:r>
      <w:r>
        <w:rPr>
          <w:szCs w:val="24"/>
          <w:u w:val="none"/>
        </w:rPr>
        <w:t>, улучшения от</w:t>
      </w:r>
      <w:r w:rsidR="009C0790" w:rsidRPr="00B751A1">
        <w:rPr>
          <w:szCs w:val="24"/>
          <w:u w:val="none"/>
        </w:rPr>
        <w:t xml:space="preserve">тока мочи и уменьшения </w:t>
      </w:r>
      <w:r>
        <w:rPr>
          <w:szCs w:val="24"/>
          <w:u w:val="none"/>
        </w:rPr>
        <w:t xml:space="preserve">выраженности </w:t>
      </w:r>
      <w:r w:rsidR="009C0790" w:rsidRPr="00B751A1">
        <w:rPr>
          <w:szCs w:val="24"/>
          <w:u w:val="none"/>
        </w:rPr>
        <w:t>симпт</w:t>
      </w:r>
      <w:r w:rsidR="00553AD5" w:rsidRPr="00B751A1">
        <w:rPr>
          <w:szCs w:val="24"/>
          <w:u w:val="none"/>
        </w:rPr>
        <w:t xml:space="preserve">омов, связанных с </w:t>
      </w:r>
      <w:proofErr w:type="spellStart"/>
      <w:r>
        <w:rPr>
          <w:szCs w:val="24"/>
          <w:u w:val="none"/>
        </w:rPr>
        <w:t>ДГПЖ</w:t>
      </w:r>
      <w:proofErr w:type="spellEnd"/>
      <w:r>
        <w:rPr>
          <w:szCs w:val="24"/>
          <w:u w:val="none"/>
        </w:rPr>
        <w:t>.</w:t>
      </w:r>
    </w:p>
    <w:p w:rsidR="00055946" w:rsidRDefault="00F211A8" w:rsidP="00055946">
      <w:pPr>
        <w:pStyle w:val="a3"/>
        <w:widowControl w:val="0"/>
        <w:spacing w:line="360" w:lineRule="auto"/>
        <w:jc w:val="both"/>
        <w:rPr>
          <w:szCs w:val="24"/>
          <w:u w:val="none"/>
        </w:rPr>
      </w:pPr>
      <w:r>
        <w:rPr>
          <w:szCs w:val="24"/>
          <w:u w:val="none"/>
        </w:rPr>
        <w:t>В сочетании с альфа-</w:t>
      </w:r>
      <w:proofErr w:type="spellStart"/>
      <w:r>
        <w:rPr>
          <w:szCs w:val="24"/>
          <w:u w:val="none"/>
        </w:rPr>
        <w:t>адреноблокатором</w:t>
      </w:r>
      <w:proofErr w:type="spellEnd"/>
      <w:r>
        <w:rPr>
          <w:szCs w:val="24"/>
          <w:u w:val="none"/>
        </w:rPr>
        <w:t xml:space="preserve"> </w:t>
      </w:r>
      <w:proofErr w:type="spellStart"/>
      <w:r>
        <w:rPr>
          <w:szCs w:val="24"/>
          <w:u w:val="none"/>
        </w:rPr>
        <w:t>доксазозином</w:t>
      </w:r>
      <w:proofErr w:type="spellEnd"/>
      <w:r>
        <w:rPr>
          <w:szCs w:val="24"/>
          <w:u w:val="none"/>
        </w:rPr>
        <w:t xml:space="preserve"> для снижения риска прогрессирования симптомов, связанных с </w:t>
      </w:r>
      <w:proofErr w:type="spellStart"/>
      <w:r>
        <w:rPr>
          <w:szCs w:val="24"/>
          <w:u w:val="none"/>
        </w:rPr>
        <w:t>ДГПЖ</w:t>
      </w:r>
      <w:proofErr w:type="spellEnd"/>
      <w:r>
        <w:rPr>
          <w:szCs w:val="24"/>
          <w:u w:val="none"/>
        </w:rPr>
        <w:t>.</w:t>
      </w:r>
    </w:p>
    <w:p w:rsidR="00580744" w:rsidRPr="00B751A1" w:rsidRDefault="00580744" w:rsidP="005473EC">
      <w:pPr>
        <w:keepNext/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Противопоказания</w:t>
      </w:r>
    </w:p>
    <w:p w:rsidR="00EC7E58" w:rsidRPr="00B751A1" w:rsidRDefault="00402130" w:rsidP="00402130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Повышенная </w:t>
      </w:r>
      <w:r w:rsidR="00EC7E58" w:rsidRPr="00B751A1">
        <w:rPr>
          <w:sz w:val="24"/>
          <w:szCs w:val="24"/>
        </w:rPr>
        <w:t>чувствительност</w:t>
      </w:r>
      <w:r>
        <w:rPr>
          <w:sz w:val="24"/>
          <w:szCs w:val="24"/>
        </w:rPr>
        <w:t xml:space="preserve">ь </w:t>
      </w:r>
      <w:r w:rsidR="00AC48D0" w:rsidRPr="00B751A1">
        <w:rPr>
          <w:sz w:val="24"/>
          <w:szCs w:val="24"/>
        </w:rPr>
        <w:t xml:space="preserve">к </w:t>
      </w:r>
      <w:proofErr w:type="spellStart"/>
      <w:r w:rsidR="00AC48D0" w:rsidRPr="00B751A1">
        <w:rPr>
          <w:sz w:val="24"/>
          <w:szCs w:val="24"/>
        </w:rPr>
        <w:t>финастериду</w:t>
      </w:r>
      <w:proofErr w:type="spellEnd"/>
      <w:r w:rsidR="00AC48D0" w:rsidRPr="00B751A1">
        <w:rPr>
          <w:sz w:val="24"/>
          <w:szCs w:val="24"/>
        </w:rPr>
        <w:t xml:space="preserve"> и</w:t>
      </w:r>
      <w:r>
        <w:rPr>
          <w:sz w:val="24"/>
          <w:szCs w:val="24"/>
        </w:rPr>
        <w:t>/или</w:t>
      </w:r>
      <w:r w:rsidR="00AC48D0" w:rsidRPr="00B751A1">
        <w:rPr>
          <w:sz w:val="24"/>
          <w:szCs w:val="24"/>
        </w:rPr>
        <w:t xml:space="preserve"> другим компонентам препарата</w:t>
      </w:r>
      <w:r w:rsidR="00546A9D" w:rsidRPr="00B751A1">
        <w:rPr>
          <w:sz w:val="24"/>
          <w:szCs w:val="24"/>
        </w:rPr>
        <w:t>;</w:t>
      </w:r>
      <w:r w:rsidR="00AC48D0" w:rsidRPr="00B751A1">
        <w:rPr>
          <w:sz w:val="24"/>
          <w:szCs w:val="24"/>
        </w:rPr>
        <w:t xml:space="preserve"> </w:t>
      </w:r>
      <w:r w:rsidRPr="00B751A1">
        <w:rPr>
          <w:sz w:val="24"/>
          <w:szCs w:val="24"/>
        </w:rPr>
        <w:t>детск</w:t>
      </w:r>
      <w:r>
        <w:rPr>
          <w:sz w:val="24"/>
          <w:szCs w:val="24"/>
        </w:rPr>
        <w:t xml:space="preserve">ий возраст до 18 лет; </w:t>
      </w:r>
      <w:r w:rsidR="00DA4D80">
        <w:rPr>
          <w:sz w:val="24"/>
          <w:szCs w:val="24"/>
        </w:rPr>
        <w:t xml:space="preserve">непереносимость лактозы, дефицит </w:t>
      </w:r>
      <w:proofErr w:type="spellStart"/>
      <w:r w:rsidR="00DA4D80">
        <w:rPr>
          <w:sz w:val="24"/>
          <w:szCs w:val="24"/>
        </w:rPr>
        <w:t>лактазы</w:t>
      </w:r>
      <w:proofErr w:type="spellEnd"/>
      <w:r w:rsidR="00DA4D80">
        <w:rPr>
          <w:sz w:val="24"/>
          <w:szCs w:val="24"/>
        </w:rPr>
        <w:t xml:space="preserve">, </w:t>
      </w:r>
      <w:proofErr w:type="spellStart"/>
      <w:r w:rsidR="00DA4D80">
        <w:rPr>
          <w:sz w:val="24"/>
          <w:szCs w:val="24"/>
        </w:rPr>
        <w:t>глюкозо-галактозная</w:t>
      </w:r>
      <w:proofErr w:type="spellEnd"/>
      <w:r w:rsidR="00DA4D80">
        <w:rPr>
          <w:sz w:val="24"/>
          <w:szCs w:val="24"/>
        </w:rPr>
        <w:t xml:space="preserve"> </w:t>
      </w:r>
      <w:proofErr w:type="spellStart"/>
      <w:r w:rsidR="00DA4D80">
        <w:rPr>
          <w:sz w:val="24"/>
          <w:szCs w:val="24"/>
        </w:rPr>
        <w:t>мальабсорбция</w:t>
      </w:r>
      <w:proofErr w:type="spellEnd"/>
      <w:r w:rsidR="00DA4D80">
        <w:rPr>
          <w:sz w:val="24"/>
          <w:szCs w:val="24"/>
        </w:rPr>
        <w:t xml:space="preserve">; </w:t>
      </w:r>
      <w:r>
        <w:rPr>
          <w:sz w:val="24"/>
          <w:szCs w:val="24"/>
        </w:rPr>
        <w:t>беременность и применение препарата у женщин с сохране</w:t>
      </w:r>
      <w:r w:rsidR="00DA4D80">
        <w:rPr>
          <w:sz w:val="24"/>
          <w:szCs w:val="24"/>
        </w:rPr>
        <w:t>нным репродуктивным потенциалом.</w:t>
      </w:r>
    </w:p>
    <w:p w:rsidR="00300317" w:rsidRPr="00B751A1" w:rsidRDefault="00300317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b/>
          <w:sz w:val="24"/>
          <w:szCs w:val="24"/>
        </w:rPr>
        <w:t>С осторожностью</w:t>
      </w:r>
    </w:p>
    <w:p w:rsidR="00300317" w:rsidRDefault="00CC3EFC" w:rsidP="00CC3EFC">
      <w:pPr>
        <w:widowControl w:val="0"/>
        <w:spacing w:line="360" w:lineRule="auto"/>
        <w:jc w:val="both"/>
        <w:rPr>
          <w:sz w:val="24"/>
          <w:szCs w:val="24"/>
        </w:rPr>
      </w:pPr>
      <w:r w:rsidRPr="00BC4B20">
        <w:rPr>
          <w:sz w:val="24"/>
          <w:szCs w:val="24"/>
        </w:rPr>
        <w:t xml:space="preserve">Пациенты с большим объемом остаточной мочи и/или существенно сниженным оттоком мочи должны регулярно наблюдаться врачом на предмет выявления </w:t>
      </w:r>
      <w:proofErr w:type="spellStart"/>
      <w:r w:rsidRPr="00BC4B20">
        <w:rPr>
          <w:sz w:val="24"/>
          <w:szCs w:val="24"/>
        </w:rPr>
        <w:t>обструктивной</w:t>
      </w:r>
      <w:proofErr w:type="spellEnd"/>
      <w:r w:rsidRPr="00BC4B20">
        <w:rPr>
          <w:sz w:val="24"/>
          <w:szCs w:val="24"/>
        </w:rPr>
        <w:t xml:space="preserve"> </w:t>
      </w:r>
      <w:proofErr w:type="spellStart"/>
      <w:r w:rsidRPr="00BC4B20">
        <w:rPr>
          <w:sz w:val="24"/>
          <w:szCs w:val="24"/>
        </w:rPr>
        <w:t>уропатии</w:t>
      </w:r>
      <w:proofErr w:type="spellEnd"/>
      <w:r w:rsidRPr="00BC4B20">
        <w:rPr>
          <w:sz w:val="24"/>
          <w:szCs w:val="24"/>
        </w:rPr>
        <w:t>; с</w:t>
      </w:r>
      <w:r w:rsidR="009D3D80" w:rsidRPr="00BC4B20">
        <w:rPr>
          <w:sz w:val="24"/>
          <w:szCs w:val="24"/>
        </w:rPr>
        <w:t> </w:t>
      </w:r>
      <w:r w:rsidRPr="00BC4B20">
        <w:rPr>
          <w:sz w:val="24"/>
          <w:szCs w:val="24"/>
        </w:rPr>
        <w:t xml:space="preserve">осторожностью препарат следует назначать пациентам с </w:t>
      </w:r>
      <w:r w:rsidR="00300317" w:rsidRPr="00BC4B20">
        <w:rPr>
          <w:sz w:val="24"/>
          <w:szCs w:val="24"/>
        </w:rPr>
        <w:t>печеночной недостаточностью</w:t>
      </w:r>
      <w:r w:rsidRPr="00BC4B20">
        <w:rPr>
          <w:sz w:val="24"/>
          <w:szCs w:val="24"/>
        </w:rPr>
        <w:t xml:space="preserve"> и лицам пожилого возраста.</w:t>
      </w:r>
    </w:p>
    <w:p w:rsidR="00A34140" w:rsidRDefault="00A34140" w:rsidP="00CC3EFC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A34140">
        <w:rPr>
          <w:b/>
          <w:sz w:val="24"/>
          <w:szCs w:val="24"/>
        </w:rPr>
        <w:t>Применение при беременности и в период грудного вскармливания</w:t>
      </w:r>
    </w:p>
    <w:p w:rsidR="00A34140" w:rsidRDefault="00626B33" w:rsidP="00CC3EF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Применение препарата </w:t>
      </w:r>
      <w:proofErr w:type="spellStart"/>
      <w:r>
        <w:rPr>
          <w:sz w:val="24"/>
          <w:szCs w:val="24"/>
        </w:rPr>
        <w:t>Финаст</w:t>
      </w:r>
      <w:proofErr w:type="spellEnd"/>
      <w:r w:rsidRPr="00626B33">
        <w:rPr>
          <w:sz w:val="24"/>
          <w:szCs w:val="24"/>
          <w:vertAlign w:val="superscript"/>
        </w:rPr>
        <w:t>®</w:t>
      </w:r>
      <w:r w:rsidRPr="00626B33">
        <w:rPr>
          <w:sz w:val="24"/>
          <w:szCs w:val="24"/>
        </w:rPr>
        <w:t xml:space="preserve"> </w:t>
      </w:r>
      <w:r>
        <w:rPr>
          <w:sz w:val="24"/>
          <w:szCs w:val="24"/>
        </w:rPr>
        <w:t>противопоказано женщинам с сохраненным репродуктивным потенциалом и при беременности. И</w:t>
      </w:r>
      <w:r w:rsidRPr="008C53DC">
        <w:rPr>
          <w:sz w:val="24"/>
          <w:szCs w:val="24"/>
        </w:rPr>
        <w:t>нгибитор</w:t>
      </w:r>
      <w:r>
        <w:rPr>
          <w:sz w:val="24"/>
          <w:szCs w:val="24"/>
        </w:rPr>
        <w:t>ы</w:t>
      </w:r>
      <w:r w:rsidRPr="008C53DC">
        <w:rPr>
          <w:sz w:val="24"/>
          <w:szCs w:val="24"/>
        </w:rPr>
        <w:t xml:space="preserve"> 5-альфа </w:t>
      </w:r>
      <w:proofErr w:type="spellStart"/>
      <w:r w:rsidRPr="008C53DC">
        <w:rPr>
          <w:sz w:val="24"/>
          <w:szCs w:val="24"/>
        </w:rPr>
        <w:t>редуктазы</w:t>
      </w:r>
      <w:proofErr w:type="spellEnd"/>
      <w:r w:rsidRPr="008C53DC">
        <w:rPr>
          <w:sz w:val="24"/>
          <w:szCs w:val="24"/>
        </w:rPr>
        <w:t xml:space="preserve"> </w:t>
      </w:r>
      <w:proofErr w:type="spellStart"/>
      <w:r w:rsidRPr="008C53DC">
        <w:rPr>
          <w:sz w:val="24"/>
          <w:szCs w:val="24"/>
        </w:rPr>
        <w:t>II</w:t>
      </w:r>
      <w:proofErr w:type="spellEnd"/>
      <w:r w:rsidRPr="008C53DC">
        <w:rPr>
          <w:sz w:val="24"/>
          <w:szCs w:val="24"/>
        </w:rPr>
        <w:t xml:space="preserve"> типа</w:t>
      </w:r>
      <w:r>
        <w:rPr>
          <w:sz w:val="24"/>
          <w:szCs w:val="24"/>
        </w:rPr>
        <w:t xml:space="preserve">, в том числе </w:t>
      </w:r>
      <w:proofErr w:type="spellStart"/>
      <w:r>
        <w:rPr>
          <w:sz w:val="24"/>
          <w:szCs w:val="24"/>
        </w:rPr>
        <w:t>финастерид</w:t>
      </w:r>
      <w:proofErr w:type="spellEnd"/>
      <w:r>
        <w:rPr>
          <w:sz w:val="24"/>
          <w:szCs w:val="24"/>
        </w:rPr>
        <w:t>, при применении у беременных могут вызывать аном</w:t>
      </w:r>
      <w:bookmarkStart w:id="0" w:name="_GoBack"/>
      <w:bookmarkEnd w:id="0"/>
      <w:r>
        <w:rPr>
          <w:sz w:val="24"/>
          <w:szCs w:val="24"/>
        </w:rPr>
        <w:t>алии развития наружных половых органов у плода мужского пола.</w:t>
      </w:r>
    </w:p>
    <w:p w:rsidR="00626B33" w:rsidRPr="00626B33" w:rsidRDefault="00626B33" w:rsidP="00CC3EFC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Препарат не показан для применения у женщин. Дачных об экскреции </w:t>
      </w:r>
      <w:proofErr w:type="spellStart"/>
      <w:r>
        <w:rPr>
          <w:sz w:val="24"/>
          <w:szCs w:val="24"/>
        </w:rPr>
        <w:t>финастерида</w:t>
      </w:r>
      <w:proofErr w:type="spellEnd"/>
      <w:r>
        <w:rPr>
          <w:sz w:val="24"/>
          <w:szCs w:val="24"/>
        </w:rPr>
        <w:t xml:space="preserve"> с грудным молоком нет. </w:t>
      </w:r>
    </w:p>
    <w:p w:rsidR="00580744" w:rsidRPr="00B751A1" w:rsidRDefault="00580744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Способ применения и дозы</w:t>
      </w:r>
    </w:p>
    <w:p w:rsidR="00174192" w:rsidRDefault="009C6AC2" w:rsidP="00B751A1">
      <w:pPr>
        <w:widowControl w:val="0"/>
        <w:spacing w:line="360" w:lineRule="auto"/>
        <w:jc w:val="both"/>
        <w:rPr>
          <w:sz w:val="24"/>
          <w:szCs w:val="24"/>
        </w:rPr>
      </w:pPr>
      <w:proofErr w:type="spellStart"/>
      <w:r w:rsidRPr="00B751A1">
        <w:rPr>
          <w:sz w:val="24"/>
          <w:szCs w:val="24"/>
        </w:rPr>
        <w:t>Финаст</w:t>
      </w:r>
      <w:proofErr w:type="spellEnd"/>
      <w:r w:rsidRPr="00B751A1">
        <w:rPr>
          <w:sz w:val="24"/>
          <w:szCs w:val="24"/>
          <w:vertAlign w:val="superscript"/>
        </w:rPr>
        <w:sym w:font="Symbol" w:char="F0D2"/>
      </w:r>
      <w:r w:rsidR="0007700D" w:rsidRPr="00B751A1">
        <w:rPr>
          <w:sz w:val="24"/>
          <w:szCs w:val="24"/>
        </w:rPr>
        <w:t xml:space="preserve"> назначают </w:t>
      </w:r>
      <w:r w:rsidR="00A34140">
        <w:rPr>
          <w:sz w:val="24"/>
          <w:szCs w:val="24"/>
        </w:rPr>
        <w:t>внутрь</w:t>
      </w:r>
      <w:r w:rsidR="00174192">
        <w:rPr>
          <w:sz w:val="24"/>
          <w:szCs w:val="24"/>
        </w:rPr>
        <w:t>,</w:t>
      </w:r>
      <w:r w:rsidR="00A34140">
        <w:rPr>
          <w:sz w:val="24"/>
          <w:szCs w:val="24"/>
        </w:rPr>
        <w:t xml:space="preserve"> </w:t>
      </w:r>
      <w:r w:rsidR="00174192" w:rsidRPr="00B751A1">
        <w:rPr>
          <w:sz w:val="24"/>
          <w:szCs w:val="24"/>
        </w:rPr>
        <w:t>независимо от приема пищи</w:t>
      </w:r>
      <w:r w:rsidR="00174192">
        <w:rPr>
          <w:sz w:val="24"/>
          <w:szCs w:val="24"/>
        </w:rPr>
        <w:t>.</w:t>
      </w:r>
    </w:p>
    <w:p w:rsidR="0007700D" w:rsidRDefault="00174192" w:rsidP="00B751A1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Рекомендуемая доза – 1 таблетка по 5 мг 1 раз в сутки</w:t>
      </w:r>
      <w:r w:rsidR="0007700D" w:rsidRPr="00B751A1">
        <w:rPr>
          <w:sz w:val="24"/>
          <w:szCs w:val="24"/>
        </w:rPr>
        <w:t>.</w:t>
      </w:r>
    </w:p>
    <w:p w:rsidR="00174192" w:rsidRPr="00B751A1" w:rsidRDefault="00174192" w:rsidP="00B751A1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Препарат можно применять в виде </w:t>
      </w:r>
      <w:proofErr w:type="spellStart"/>
      <w:r>
        <w:rPr>
          <w:sz w:val="24"/>
          <w:szCs w:val="24"/>
        </w:rPr>
        <w:t>монотерапии</w:t>
      </w:r>
      <w:proofErr w:type="spellEnd"/>
      <w:r>
        <w:rPr>
          <w:sz w:val="24"/>
          <w:szCs w:val="24"/>
        </w:rPr>
        <w:t>, а также в комбинации с альфа-</w:t>
      </w:r>
      <w:proofErr w:type="spellStart"/>
      <w:r>
        <w:rPr>
          <w:sz w:val="24"/>
          <w:szCs w:val="24"/>
        </w:rPr>
        <w:t>адреноблокатором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доксазозином</w:t>
      </w:r>
      <w:proofErr w:type="spellEnd"/>
      <w:r>
        <w:rPr>
          <w:sz w:val="24"/>
          <w:szCs w:val="24"/>
        </w:rPr>
        <w:t>.</w:t>
      </w:r>
    </w:p>
    <w:p w:rsidR="00174192" w:rsidRDefault="0007700D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sz w:val="24"/>
          <w:szCs w:val="24"/>
        </w:rPr>
        <w:t xml:space="preserve">Продолжительность терапии до оценки ее эффективности должна быть не менее 6 месяцев. </w:t>
      </w:r>
    </w:p>
    <w:p w:rsidR="0008505C" w:rsidRDefault="0008505C" w:rsidP="00B751A1">
      <w:pPr>
        <w:widowControl w:val="0"/>
        <w:spacing w:line="360" w:lineRule="auto"/>
        <w:jc w:val="both"/>
        <w:rPr>
          <w:i/>
          <w:sz w:val="24"/>
          <w:szCs w:val="24"/>
        </w:rPr>
      </w:pPr>
      <w:r w:rsidRPr="0008505C">
        <w:rPr>
          <w:i/>
          <w:sz w:val="24"/>
          <w:szCs w:val="24"/>
        </w:rPr>
        <w:t>Почечная недостаточность</w:t>
      </w:r>
    </w:p>
    <w:p w:rsidR="0008505C" w:rsidRDefault="0008505C" w:rsidP="00B751A1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пациентов с различными стадиями почечной недостаточности (при снижении </w:t>
      </w:r>
      <w:proofErr w:type="spellStart"/>
      <w:r>
        <w:rPr>
          <w:sz w:val="24"/>
          <w:szCs w:val="24"/>
        </w:rPr>
        <w:t>КК</w:t>
      </w:r>
      <w:proofErr w:type="spellEnd"/>
      <w:r>
        <w:rPr>
          <w:sz w:val="24"/>
          <w:szCs w:val="24"/>
        </w:rPr>
        <w:t xml:space="preserve"> до 9 мл/мин) коррекции дозы не требуется, поскольку специальные исследования не продемонстрировали каких-либо изменений фармакокинетического профиля </w:t>
      </w:r>
      <w:proofErr w:type="spellStart"/>
      <w:r>
        <w:rPr>
          <w:sz w:val="24"/>
          <w:szCs w:val="24"/>
        </w:rPr>
        <w:t>финастерида</w:t>
      </w:r>
      <w:proofErr w:type="spellEnd"/>
      <w:r>
        <w:rPr>
          <w:sz w:val="24"/>
          <w:szCs w:val="24"/>
        </w:rPr>
        <w:t>.</w:t>
      </w:r>
    </w:p>
    <w:p w:rsidR="0008505C" w:rsidRPr="0008505C" w:rsidRDefault="0008505C" w:rsidP="00B751A1">
      <w:pPr>
        <w:widowControl w:val="0"/>
        <w:spacing w:line="360" w:lineRule="auto"/>
        <w:jc w:val="both"/>
        <w:rPr>
          <w:i/>
          <w:sz w:val="24"/>
          <w:szCs w:val="24"/>
        </w:rPr>
      </w:pPr>
      <w:r w:rsidRPr="0008505C">
        <w:rPr>
          <w:i/>
          <w:sz w:val="24"/>
          <w:szCs w:val="24"/>
        </w:rPr>
        <w:t>Пациенты пожилого возраста</w:t>
      </w:r>
    </w:p>
    <w:p w:rsidR="0008505C" w:rsidRPr="0008505C" w:rsidRDefault="0008505C" w:rsidP="00B751A1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Коррекции доз не требуется, хотя фармакокинетические исследования указывают </w:t>
      </w:r>
      <w:r w:rsidR="00934480">
        <w:rPr>
          <w:sz w:val="24"/>
          <w:szCs w:val="24"/>
        </w:rPr>
        <w:t>н</w:t>
      </w:r>
      <w:r>
        <w:rPr>
          <w:sz w:val="24"/>
          <w:szCs w:val="24"/>
        </w:rPr>
        <w:t xml:space="preserve">а то, что выведение </w:t>
      </w:r>
      <w:proofErr w:type="spellStart"/>
      <w:r>
        <w:rPr>
          <w:sz w:val="24"/>
          <w:szCs w:val="24"/>
        </w:rPr>
        <w:t>финастерида</w:t>
      </w:r>
      <w:proofErr w:type="spellEnd"/>
      <w:r>
        <w:rPr>
          <w:sz w:val="24"/>
          <w:szCs w:val="24"/>
        </w:rPr>
        <w:t xml:space="preserve"> у пациентов старше 70 лет несколько снижается.</w:t>
      </w:r>
    </w:p>
    <w:p w:rsidR="00264CD3" w:rsidRPr="00B751A1" w:rsidRDefault="00264CD3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П</w:t>
      </w:r>
      <w:r w:rsidR="00F91F80" w:rsidRPr="00B751A1">
        <w:rPr>
          <w:b/>
          <w:sz w:val="24"/>
          <w:szCs w:val="24"/>
        </w:rPr>
        <w:t>обочное действие</w:t>
      </w:r>
    </w:p>
    <w:p w:rsidR="002B3E8E" w:rsidRPr="002B3E8E" w:rsidRDefault="002B3E8E" w:rsidP="002B3E8E">
      <w:pPr>
        <w:widowControl w:val="0"/>
        <w:spacing w:line="360" w:lineRule="auto"/>
        <w:jc w:val="both"/>
        <w:rPr>
          <w:i/>
          <w:sz w:val="24"/>
          <w:szCs w:val="24"/>
        </w:rPr>
      </w:pPr>
      <w:r w:rsidRPr="002B3E8E">
        <w:rPr>
          <w:i/>
          <w:sz w:val="24"/>
          <w:szCs w:val="24"/>
        </w:rPr>
        <w:t>Побочные эффекты, выявленные в ходе клинических исследований</w:t>
      </w:r>
    </w:p>
    <w:p w:rsidR="002B3E8E" w:rsidRDefault="002B3E8E" w:rsidP="002B3E8E">
      <w:pPr>
        <w:widowControl w:val="0"/>
        <w:spacing w:line="360" w:lineRule="auto"/>
        <w:jc w:val="both"/>
        <w:rPr>
          <w:sz w:val="24"/>
          <w:szCs w:val="24"/>
        </w:rPr>
      </w:pPr>
      <w:r w:rsidRPr="002B3E8E">
        <w:rPr>
          <w:sz w:val="24"/>
          <w:szCs w:val="24"/>
        </w:rPr>
        <w:t xml:space="preserve">В исследовании </w:t>
      </w:r>
      <w:proofErr w:type="spellStart"/>
      <w:r w:rsidRPr="00E53B96">
        <w:rPr>
          <w:i/>
          <w:sz w:val="24"/>
          <w:szCs w:val="24"/>
        </w:rPr>
        <w:t>PLESS</w:t>
      </w:r>
      <w:proofErr w:type="spellEnd"/>
      <w:r w:rsidRPr="00B76257">
        <w:rPr>
          <w:b/>
          <w:i/>
          <w:sz w:val="24"/>
          <w:szCs w:val="24"/>
        </w:rPr>
        <w:t xml:space="preserve"> </w:t>
      </w:r>
      <w:r w:rsidRPr="002B3E8E">
        <w:rPr>
          <w:sz w:val="24"/>
          <w:szCs w:val="24"/>
        </w:rPr>
        <w:t>в течение 4 лет оценивалась безопасность терапии у 1524</w:t>
      </w:r>
      <w:r w:rsidR="00D5363D">
        <w:rPr>
          <w:sz w:val="24"/>
          <w:szCs w:val="24"/>
        </w:rPr>
        <w:t> </w:t>
      </w:r>
      <w:r w:rsidRPr="002B3E8E">
        <w:rPr>
          <w:sz w:val="24"/>
          <w:szCs w:val="24"/>
        </w:rPr>
        <w:t xml:space="preserve">пациентов, принимавших </w:t>
      </w:r>
      <w:proofErr w:type="spellStart"/>
      <w:r>
        <w:rPr>
          <w:sz w:val="24"/>
          <w:szCs w:val="24"/>
        </w:rPr>
        <w:t>финастерид</w:t>
      </w:r>
      <w:proofErr w:type="spellEnd"/>
      <w:r>
        <w:rPr>
          <w:sz w:val="24"/>
          <w:szCs w:val="24"/>
        </w:rPr>
        <w:t>,</w:t>
      </w:r>
      <w:r w:rsidRPr="002B3E8E">
        <w:rPr>
          <w:sz w:val="24"/>
          <w:szCs w:val="24"/>
        </w:rPr>
        <w:t xml:space="preserve"> в сравнении с 1516 п</w:t>
      </w:r>
      <w:r>
        <w:rPr>
          <w:sz w:val="24"/>
          <w:szCs w:val="24"/>
        </w:rPr>
        <w:t>ациентами, принимавшими плацебо.</w:t>
      </w:r>
    </w:p>
    <w:p w:rsidR="002B3E8E" w:rsidRDefault="002B3E8E" w:rsidP="002B3E8E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</w:t>
      </w:r>
      <w:r w:rsidRPr="002B3E8E">
        <w:rPr>
          <w:sz w:val="24"/>
          <w:szCs w:val="24"/>
        </w:rPr>
        <w:t>74 пациент</w:t>
      </w:r>
      <w:r>
        <w:rPr>
          <w:sz w:val="24"/>
          <w:szCs w:val="24"/>
        </w:rPr>
        <w:t>ов</w:t>
      </w:r>
      <w:r w:rsidRPr="002B3E8E">
        <w:rPr>
          <w:sz w:val="24"/>
          <w:szCs w:val="24"/>
        </w:rPr>
        <w:t xml:space="preserve"> (4,9%) в группе принимавших </w:t>
      </w:r>
      <w:proofErr w:type="spellStart"/>
      <w:r>
        <w:rPr>
          <w:sz w:val="24"/>
          <w:szCs w:val="24"/>
        </w:rPr>
        <w:t>финастерид</w:t>
      </w:r>
      <w:proofErr w:type="spellEnd"/>
      <w:r w:rsidR="004542F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B3E8E">
        <w:rPr>
          <w:sz w:val="24"/>
          <w:szCs w:val="24"/>
        </w:rPr>
        <w:t>терапия была прекращена в связи с возникновением побочных эффектов, связанных с препаратом, в сравнении с 50</w:t>
      </w:r>
      <w:r>
        <w:rPr>
          <w:sz w:val="24"/>
          <w:szCs w:val="24"/>
        </w:rPr>
        <w:t> </w:t>
      </w:r>
      <w:r w:rsidRPr="002B3E8E">
        <w:rPr>
          <w:sz w:val="24"/>
          <w:szCs w:val="24"/>
        </w:rPr>
        <w:t>пациентами (3,3%) в группе плацебо. 57 пациентов (3,7%) в группе принимавших</w:t>
      </w:r>
      <w:r w:rsidR="004542FB">
        <w:rPr>
          <w:sz w:val="24"/>
          <w:szCs w:val="24"/>
        </w:rPr>
        <w:t xml:space="preserve"> </w:t>
      </w:r>
      <w:proofErr w:type="spellStart"/>
      <w:r w:rsidR="004542FB">
        <w:rPr>
          <w:sz w:val="24"/>
          <w:szCs w:val="24"/>
        </w:rPr>
        <w:t>финастерид</w:t>
      </w:r>
      <w:proofErr w:type="spellEnd"/>
      <w:r w:rsidR="004542FB">
        <w:rPr>
          <w:sz w:val="24"/>
          <w:szCs w:val="24"/>
        </w:rPr>
        <w:t xml:space="preserve"> </w:t>
      </w:r>
      <w:r w:rsidRPr="002B3E8E">
        <w:rPr>
          <w:sz w:val="24"/>
          <w:szCs w:val="24"/>
        </w:rPr>
        <w:t>и 32 пациента (2,1%) в группе плацебо прекратили лечение из-за побочных эффектов, связанных с нарушением сексуальной функции, которые являлись наиболее часто выявляемыми побочными эффектами.</w:t>
      </w:r>
    </w:p>
    <w:p w:rsidR="002B3E8E" w:rsidRDefault="002B3E8E" w:rsidP="002B3E8E">
      <w:pPr>
        <w:widowControl w:val="0"/>
        <w:spacing w:line="360" w:lineRule="auto"/>
        <w:jc w:val="both"/>
        <w:rPr>
          <w:sz w:val="24"/>
          <w:szCs w:val="24"/>
        </w:rPr>
      </w:pPr>
      <w:r w:rsidRPr="002B3E8E">
        <w:rPr>
          <w:sz w:val="24"/>
          <w:szCs w:val="24"/>
        </w:rPr>
        <w:t xml:space="preserve">Единственными клиническими нежелательными реакциями, которые рассматривались исследователями как возможно, вероятно или определенно связанные с препаратом, и частота возникновения которых при приеме </w:t>
      </w:r>
      <w:proofErr w:type="spellStart"/>
      <w:r>
        <w:rPr>
          <w:sz w:val="24"/>
          <w:szCs w:val="24"/>
        </w:rPr>
        <w:t>финастерида</w:t>
      </w:r>
      <w:proofErr w:type="spellEnd"/>
      <w:r w:rsidRPr="002B3E8E">
        <w:rPr>
          <w:sz w:val="24"/>
          <w:szCs w:val="24"/>
        </w:rPr>
        <w:t> составляла более 1% и превышала таковую при приеме плацебо в течение 4-х лет исследования, были явления, связанные с нарушением сексуальной функции, болезненност</w:t>
      </w:r>
      <w:r w:rsidR="00D1482C">
        <w:rPr>
          <w:sz w:val="24"/>
          <w:szCs w:val="24"/>
        </w:rPr>
        <w:t>ь грудных желез и кожная сыпь. </w:t>
      </w:r>
      <w:r w:rsidRPr="002B3E8E">
        <w:rPr>
          <w:sz w:val="24"/>
          <w:szCs w:val="24"/>
        </w:rPr>
        <w:t>В первый год лечения нарушение сексуальной функции было выявлено у 8,1% пациентов в группе принимавших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финастерид</w:t>
      </w:r>
      <w:proofErr w:type="spellEnd"/>
      <w:r>
        <w:rPr>
          <w:sz w:val="24"/>
          <w:szCs w:val="24"/>
        </w:rPr>
        <w:t xml:space="preserve"> </w:t>
      </w:r>
      <w:r w:rsidRPr="002B3E8E">
        <w:rPr>
          <w:sz w:val="24"/>
          <w:szCs w:val="24"/>
        </w:rPr>
        <w:t>и 3,7% в группе плацебо; снижение либидо</w:t>
      </w:r>
      <w:r>
        <w:rPr>
          <w:sz w:val="24"/>
          <w:szCs w:val="24"/>
        </w:rPr>
        <w:t xml:space="preserve"> – </w:t>
      </w:r>
      <w:r w:rsidRPr="002B3E8E">
        <w:rPr>
          <w:sz w:val="24"/>
          <w:szCs w:val="24"/>
        </w:rPr>
        <w:t>у 6,4% и 3,4%; и нарушение эякуляции</w:t>
      </w:r>
      <w:r>
        <w:rPr>
          <w:sz w:val="24"/>
          <w:szCs w:val="24"/>
        </w:rPr>
        <w:t xml:space="preserve"> – </w:t>
      </w:r>
      <w:r w:rsidRPr="002B3E8E">
        <w:rPr>
          <w:sz w:val="24"/>
          <w:szCs w:val="24"/>
        </w:rPr>
        <w:t>0,8% и 0,1% соответственно. При применении препарата </w:t>
      </w:r>
      <w:r>
        <w:rPr>
          <w:sz w:val="24"/>
          <w:szCs w:val="24"/>
        </w:rPr>
        <w:t>на 2-</w:t>
      </w:r>
      <w:r w:rsidRPr="002B3E8E">
        <w:rPr>
          <w:sz w:val="24"/>
          <w:szCs w:val="24"/>
        </w:rPr>
        <w:t xml:space="preserve">4 годах исследования частота возникновения вышеперечисленных побочных эффектов у пациентов, принимавших </w:t>
      </w:r>
      <w:proofErr w:type="spellStart"/>
      <w:r>
        <w:rPr>
          <w:sz w:val="24"/>
          <w:szCs w:val="24"/>
        </w:rPr>
        <w:t>финастерид</w:t>
      </w:r>
      <w:proofErr w:type="spellEnd"/>
      <w:r w:rsidRPr="002B3E8E">
        <w:rPr>
          <w:sz w:val="24"/>
          <w:szCs w:val="24"/>
        </w:rPr>
        <w:t>, достоверно не отличалась от таковой у пациентов, принимавших плацебо.</w:t>
      </w:r>
    </w:p>
    <w:p w:rsidR="00D163CC" w:rsidRDefault="002B3E8E" w:rsidP="002B3E8E">
      <w:pPr>
        <w:widowControl w:val="0"/>
        <w:spacing w:line="360" w:lineRule="auto"/>
        <w:jc w:val="both"/>
        <w:rPr>
          <w:sz w:val="24"/>
          <w:szCs w:val="24"/>
        </w:rPr>
      </w:pPr>
      <w:r w:rsidRPr="002B3E8E">
        <w:rPr>
          <w:sz w:val="24"/>
          <w:szCs w:val="24"/>
        </w:rPr>
        <w:t>Суммарная частота побочных эффектов в течение 2</w:t>
      </w:r>
      <w:r w:rsidR="00D163CC">
        <w:rPr>
          <w:sz w:val="24"/>
          <w:szCs w:val="24"/>
        </w:rPr>
        <w:t>-</w:t>
      </w:r>
      <w:r w:rsidRPr="002B3E8E">
        <w:rPr>
          <w:sz w:val="24"/>
          <w:szCs w:val="24"/>
        </w:rPr>
        <w:t xml:space="preserve">4 лет исследования составила: нарушение сексуальной функции (5,1% в группе препарата и 5,1% в группе плацебо), снижение либидо (2,6% в обеих группах), нарушение эякуляции (0,2% и 0,1% соответственно). В течение 1 года уменьшение объема </w:t>
      </w:r>
      <w:proofErr w:type="spellStart"/>
      <w:r w:rsidRPr="002B3E8E">
        <w:rPr>
          <w:sz w:val="24"/>
          <w:szCs w:val="24"/>
        </w:rPr>
        <w:t>эякулята</w:t>
      </w:r>
      <w:proofErr w:type="spellEnd"/>
      <w:r w:rsidRPr="002B3E8E">
        <w:rPr>
          <w:sz w:val="24"/>
          <w:szCs w:val="24"/>
        </w:rPr>
        <w:t xml:space="preserve"> было выявлено у 3,7% и 0,8% в группе препарата и </w:t>
      </w:r>
      <w:r w:rsidR="00D163CC">
        <w:rPr>
          <w:sz w:val="24"/>
          <w:szCs w:val="24"/>
        </w:rPr>
        <w:t xml:space="preserve">группе </w:t>
      </w:r>
      <w:r w:rsidRPr="002B3E8E">
        <w:rPr>
          <w:sz w:val="24"/>
          <w:szCs w:val="24"/>
        </w:rPr>
        <w:t>плацебо, соответственно; а в течение 2</w:t>
      </w:r>
      <w:r w:rsidR="00D163CC">
        <w:rPr>
          <w:sz w:val="24"/>
          <w:szCs w:val="24"/>
        </w:rPr>
        <w:t>-</w:t>
      </w:r>
      <w:r w:rsidRPr="002B3E8E">
        <w:rPr>
          <w:sz w:val="24"/>
          <w:szCs w:val="24"/>
        </w:rPr>
        <w:t>4 лет исследования</w:t>
      </w:r>
      <w:r w:rsidR="00D163CC">
        <w:rPr>
          <w:sz w:val="24"/>
          <w:szCs w:val="24"/>
        </w:rPr>
        <w:t xml:space="preserve"> – </w:t>
      </w:r>
      <w:r w:rsidRPr="002B3E8E">
        <w:rPr>
          <w:sz w:val="24"/>
          <w:szCs w:val="24"/>
        </w:rPr>
        <w:t>1,5% и 0,5% соответственно. В течение 1 года сообщалось также об увеличении грудных желез (0,5% и 0,1% соответственно), болезненности в области грудных желез (0,4% и 0,1% соответственно) и кожной сыпи (0,5% и 0,2% соответственно). На</w:t>
      </w:r>
      <w:r w:rsidR="00D163CC">
        <w:rPr>
          <w:sz w:val="24"/>
          <w:szCs w:val="24"/>
        </w:rPr>
        <w:t> </w:t>
      </w:r>
      <w:r w:rsidRPr="002B3E8E">
        <w:rPr>
          <w:sz w:val="24"/>
          <w:szCs w:val="24"/>
        </w:rPr>
        <w:t>протяжении 2–4 лет суммарная частота данных явлений составила: увеличение грудных желез (1,8% и 1,1% соответственно), болезненность в области грудных желез (0,7% и 0,3% соответственно), кожная сыпь (0,5% и 0,1% соответственно).</w:t>
      </w:r>
    </w:p>
    <w:p w:rsidR="003758AA" w:rsidRDefault="002B3E8E" w:rsidP="002B3E8E">
      <w:pPr>
        <w:widowControl w:val="0"/>
        <w:spacing w:line="360" w:lineRule="auto"/>
        <w:jc w:val="both"/>
        <w:rPr>
          <w:sz w:val="24"/>
          <w:szCs w:val="24"/>
        </w:rPr>
      </w:pPr>
      <w:r w:rsidRPr="002B3E8E">
        <w:rPr>
          <w:sz w:val="24"/>
          <w:szCs w:val="24"/>
        </w:rPr>
        <w:t xml:space="preserve">В 7-летнем плацебо-контролируемом исследовании, в которое было включено 18882 здоровых мужчин, по результатам проведенной пункционной биопсии (у 9 060 мужчин) рак предстательной железы был выявлен у 18,4% пациентов, получавших </w:t>
      </w:r>
      <w:proofErr w:type="spellStart"/>
      <w:r w:rsidR="003758AA">
        <w:rPr>
          <w:sz w:val="24"/>
          <w:szCs w:val="24"/>
        </w:rPr>
        <w:t>финастерид</w:t>
      </w:r>
      <w:proofErr w:type="spellEnd"/>
      <w:r w:rsidRPr="002B3E8E">
        <w:rPr>
          <w:sz w:val="24"/>
          <w:szCs w:val="24"/>
        </w:rPr>
        <w:t xml:space="preserve"> и у 24,4% пациентов, получавших плацебо. У 280 мужчин (6,4%) в группе пациентов, принимавших </w:t>
      </w:r>
      <w:proofErr w:type="spellStart"/>
      <w:r w:rsidR="003758AA">
        <w:rPr>
          <w:sz w:val="24"/>
          <w:szCs w:val="24"/>
        </w:rPr>
        <w:t>финастерид</w:t>
      </w:r>
      <w:proofErr w:type="spellEnd"/>
      <w:r w:rsidR="003758AA">
        <w:rPr>
          <w:sz w:val="24"/>
          <w:szCs w:val="24"/>
        </w:rPr>
        <w:t xml:space="preserve"> </w:t>
      </w:r>
      <w:r w:rsidRPr="002B3E8E">
        <w:rPr>
          <w:sz w:val="24"/>
          <w:szCs w:val="24"/>
        </w:rPr>
        <w:t xml:space="preserve">и 237 мужчин (5,1%) в группе плацебо был выявлен рак предстательной железы, который оценивался по результатам пункционной биопсии в 7–10 баллов по шкале </w:t>
      </w:r>
      <w:proofErr w:type="spellStart"/>
      <w:r w:rsidRPr="002B3E8E">
        <w:rPr>
          <w:sz w:val="24"/>
          <w:szCs w:val="24"/>
        </w:rPr>
        <w:t>Глисона</w:t>
      </w:r>
      <w:proofErr w:type="spellEnd"/>
      <w:r w:rsidRPr="002B3E8E">
        <w:rPr>
          <w:sz w:val="24"/>
          <w:szCs w:val="24"/>
        </w:rPr>
        <w:t>. Дополнительный анализ позволил предположить, что увеличение частоты рака высокой степени злокачественности, наблюдаемое в группе пациентов, принимавших</w:t>
      </w:r>
      <w:r w:rsidR="003758AA">
        <w:rPr>
          <w:sz w:val="24"/>
          <w:szCs w:val="24"/>
        </w:rPr>
        <w:t xml:space="preserve"> </w:t>
      </w:r>
      <w:proofErr w:type="spellStart"/>
      <w:r w:rsidR="003758AA">
        <w:rPr>
          <w:sz w:val="24"/>
          <w:szCs w:val="24"/>
        </w:rPr>
        <w:t>финастерид</w:t>
      </w:r>
      <w:proofErr w:type="spellEnd"/>
      <w:r w:rsidRPr="002B3E8E">
        <w:rPr>
          <w:sz w:val="24"/>
          <w:szCs w:val="24"/>
        </w:rPr>
        <w:t xml:space="preserve">, может объясняться диагностическими погрешностями, связанными с влиянием препарата на объем предстательной железы. Приблизительно в 98% всех диагностированных случаев рака опухоль была классифицирована в момент постановки диагноза как </w:t>
      </w:r>
      <w:proofErr w:type="spellStart"/>
      <w:r w:rsidRPr="002B3E8E">
        <w:rPr>
          <w:sz w:val="24"/>
          <w:szCs w:val="24"/>
        </w:rPr>
        <w:t>интракапсулярная</w:t>
      </w:r>
      <w:proofErr w:type="spellEnd"/>
      <w:r w:rsidRPr="002B3E8E">
        <w:rPr>
          <w:sz w:val="24"/>
          <w:szCs w:val="24"/>
        </w:rPr>
        <w:t xml:space="preserve"> (стадия </w:t>
      </w:r>
      <w:proofErr w:type="spellStart"/>
      <w:r w:rsidRPr="002B3E8E">
        <w:rPr>
          <w:sz w:val="24"/>
          <w:szCs w:val="24"/>
        </w:rPr>
        <w:t>Т</w:t>
      </w:r>
      <w:r w:rsidRPr="003758AA">
        <w:rPr>
          <w:sz w:val="24"/>
          <w:szCs w:val="24"/>
          <w:vertAlign w:val="subscript"/>
        </w:rPr>
        <w:t>1</w:t>
      </w:r>
      <w:proofErr w:type="spellEnd"/>
      <w:r w:rsidRPr="002B3E8E">
        <w:rPr>
          <w:sz w:val="24"/>
          <w:szCs w:val="24"/>
        </w:rPr>
        <w:t xml:space="preserve"> или </w:t>
      </w:r>
      <w:proofErr w:type="spellStart"/>
      <w:r w:rsidRPr="002B3E8E">
        <w:rPr>
          <w:sz w:val="24"/>
          <w:szCs w:val="24"/>
        </w:rPr>
        <w:t>Т</w:t>
      </w:r>
      <w:r w:rsidRPr="003758AA">
        <w:rPr>
          <w:sz w:val="24"/>
          <w:szCs w:val="24"/>
          <w:vertAlign w:val="subscript"/>
        </w:rPr>
        <w:t>2</w:t>
      </w:r>
      <w:proofErr w:type="spellEnd"/>
      <w:r w:rsidRPr="002B3E8E">
        <w:rPr>
          <w:sz w:val="24"/>
          <w:szCs w:val="24"/>
        </w:rPr>
        <w:t xml:space="preserve">). Клиническая значимость результатов, касающихся рака предстательной железы 7–10 баллов по шкале </w:t>
      </w:r>
      <w:proofErr w:type="spellStart"/>
      <w:r w:rsidRPr="002B3E8E">
        <w:rPr>
          <w:sz w:val="24"/>
          <w:szCs w:val="24"/>
        </w:rPr>
        <w:t>Глисона</w:t>
      </w:r>
      <w:proofErr w:type="spellEnd"/>
      <w:r w:rsidRPr="002B3E8E">
        <w:rPr>
          <w:sz w:val="24"/>
          <w:szCs w:val="24"/>
        </w:rPr>
        <w:t>, в данном исследовании неизвестна.</w:t>
      </w:r>
    </w:p>
    <w:p w:rsidR="003F7A86" w:rsidRDefault="002B3E8E" w:rsidP="00870BA5">
      <w:pPr>
        <w:widowControl w:val="0"/>
        <w:spacing w:line="360" w:lineRule="auto"/>
        <w:jc w:val="both"/>
        <w:rPr>
          <w:sz w:val="24"/>
          <w:szCs w:val="24"/>
        </w:rPr>
      </w:pPr>
      <w:r w:rsidRPr="002B3E8E">
        <w:rPr>
          <w:sz w:val="24"/>
          <w:szCs w:val="24"/>
        </w:rPr>
        <w:t xml:space="preserve">В исследовании </w:t>
      </w:r>
      <w:proofErr w:type="spellStart"/>
      <w:r w:rsidRPr="00E53B96">
        <w:rPr>
          <w:i/>
          <w:sz w:val="24"/>
          <w:szCs w:val="24"/>
        </w:rPr>
        <w:t>MTOPS</w:t>
      </w:r>
      <w:proofErr w:type="spellEnd"/>
      <w:r w:rsidRPr="002B3E8E">
        <w:rPr>
          <w:sz w:val="24"/>
          <w:szCs w:val="24"/>
        </w:rPr>
        <w:t xml:space="preserve"> профиль безопасности и переносимости терапии при комбинированном лечении </w:t>
      </w:r>
      <w:proofErr w:type="spellStart"/>
      <w:r w:rsidRPr="002B3E8E">
        <w:rPr>
          <w:sz w:val="24"/>
          <w:szCs w:val="24"/>
        </w:rPr>
        <w:t>финастеридом</w:t>
      </w:r>
      <w:proofErr w:type="spellEnd"/>
      <w:r w:rsidRPr="002B3E8E">
        <w:rPr>
          <w:sz w:val="24"/>
          <w:szCs w:val="24"/>
        </w:rPr>
        <w:t xml:space="preserve"> в дозе 5 мг в сутки и </w:t>
      </w:r>
      <w:proofErr w:type="spellStart"/>
      <w:r w:rsidRPr="002B3E8E">
        <w:rPr>
          <w:sz w:val="24"/>
          <w:szCs w:val="24"/>
        </w:rPr>
        <w:t>доксазозином</w:t>
      </w:r>
      <w:proofErr w:type="spellEnd"/>
      <w:r w:rsidRPr="002B3E8E">
        <w:rPr>
          <w:sz w:val="24"/>
          <w:szCs w:val="24"/>
        </w:rPr>
        <w:t xml:space="preserve"> 4 мг или 8 мг в сутки был сравним с безопасностью и переносимостью каждого из указанных средств в отдельности. </w:t>
      </w:r>
      <w:r w:rsidRPr="002B3E8E">
        <w:rPr>
          <w:sz w:val="24"/>
          <w:szCs w:val="24"/>
        </w:rPr>
        <w:br/>
        <w:t xml:space="preserve">Во время 4–6 летнего плацебо-контролируемого исследования </w:t>
      </w:r>
      <w:proofErr w:type="spellStart"/>
      <w:r w:rsidRPr="002B3E8E">
        <w:rPr>
          <w:sz w:val="24"/>
          <w:szCs w:val="24"/>
        </w:rPr>
        <w:t>MTOPS</w:t>
      </w:r>
      <w:proofErr w:type="spellEnd"/>
      <w:r w:rsidRPr="002B3E8E">
        <w:rPr>
          <w:sz w:val="24"/>
          <w:szCs w:val="24"/>
        </w:rPr>
        <w:t xml:space="preserve"> с использованием активного препарата в качестве контроля, проводимого с участием 3047 мужчин, было зафиксировано 4 случая рака грудной железы у мужчин, принимавших </w:t>
      </w:r>
      <w:proofErr w:type="spellStart"/>
      <w:r w:rsidRPr="002B3E8E">
        <w:rPr>
          <w:sz w:val="24"/>
          <w:szCs w:val="24"/>
        </w:rPr>
        <w:t>финастерид</w:t>
      </w:r>
      <w:proofErr w:type="spellEnd"/>
      <w:r w:rsidRPr="002B3E8E">
        <w:rPr>
          <w:sz w:val="24"/>
          <w:szCs w:val="24"/>
        </w:rPr>
        <w:t>, и ни</w:t>
      </w:r>
      <w:r w:rsidR="00362946">
        <w:rPr>
          <w:sz w:val="24"/>
          <w:szCs w:val="24"/>
        </w:rPr>
        <w:t> </w:t>
      </w:r>
      <w:r w:rsidRPr="002B3E8E">
        <w:rPr>
          <w:sz w:val="24"/>
          <w:szCs w:val="24"/>
        </w:rPr>
        <w:t xml:space="preserve">одного случая у мужчин, не принимавших </w:t>
      </w:r>
      <w:proofErr w:type="spellStart"/>
      <w:r w:rsidRPr="002B3E8E">
        <w:rPr>
          <w:sz w:val="24"/>
          <w:szCs w:val="24"/>
        </w:rPr>
        <w:t>финастерид</w:t>
      </w:r>
      <w:proofErr w:type="spellEnd"/>
      <w:r w:rsidRPr="002B3E8E">
        <w:rPr>
          <w:sz w:val="24"/>
          <w:szCs w:val="24"/>
        </w:rPr>
        <w:t xml:space="preserve">. </w:t>
      </w:r>
      <w:proofErr w:type="gramStart"/>
      <w:r w:rsidRPr="002B3E8E">
        <w:rPr>
          <w:sz w:val="24"/>
          <w:szCs w:val="24"/>
        </w:rPr>
        <w:t>Во время</w:t>
      </w:r>
      <w:proofErr w:type="gramEnd"/>
      <w:r w:rsidRPr="002B3E8E">
        <w:rPr>
          <w:sz w:val="24"/>
          <w:szCs w:val="24"/>
        </w:rPr>
        <w:t xml:space="preserve"> 4-летнего плацебо-контролируемого исследования </w:t>
      </w:r>
      <w:proofErr w:type="spellStart"/>
      <w:r w:rsidRPr="00E53B96">
        <w:rPr>
          <w:i/>
          <w:sz w:val="24"/>
          <w:szCs w:val="24"/>
        </w:rPr>
        <w:t>PLESS</w:t>
      </w:r>
      <w:proofErr w:type="spellEnd"/>
      <w:r w:rsidRPr="00E53B96">
        <w:rPr>
          <w:sz w:val="24"/>
          <w:szCs w:val="24"/>
        </w:rPr>
        <w:t>,</w:t>
      </w:r>
      <w:r w:rsidRPr="002B3E8E">
        <w:rPr>
          <w:sz w:val="24"/>
          <w:szCs w:val="24"/>
        </w:rPr>
        <w:t xml:space="preserve"> проводимого с участием 3040 мужчин, было зафиксировано 2 случая рака грудной железы у мужчин, получавших плацебо, и ни одного случая у мужчин, принимавших </w:t>
      </w:r>
      <w:proofErr w:type="spellStart"/>
      <w:r w:rsidRPr="002B3E8E">
        <w:rPr>
          <w:sz w:val="24"/>
          <w:szCs w:val="24"/>
        </w:rPr>
        <w:t>финастерид</w:t>
      </w:r>
      <w:proofErr w:type="spellEnd"/>
      <w:r w:rsidRPr="002B3E8E">
        <w:rPr>
          <w:sz w:val="24"/>
          <w:szCs w:val="24"/>
        </w:rPr>
        <w:t xml:space="preserve">. В ходе 7-летнего плацебо-контролируемого исследования </w:t>
      </w:r>
      <w:proofErr w:type="spellStart"/>
      <w:r w:rsidRPr="00E53B96">
        <w:rPr>
          <w:i/>
          <w:sz w:val="24"/>
          <w:szCs w:val="24"/>
        </w:rPr>
        <w:t>РСРТ</w:t>
      </w:r>
      <w:proofErr w:type="spellEnd"/>
      <w:r w:rsidRPr="002B3E8E">
        <w:rPr>
          <w:sz w:val="24"/>
          <w:szCs w:val="24"/>
        </w:rPr>
        <w:t xml:space="preserve"> (</w:t>
      </w:r>
      <w:proofErr w:type="spellStart"/>
      <w:r w:rsidRPr="002B3E8E">
        <w:rPr>
          <w:sz w:val="24"/>
          <w:szCs w:val="24"/>
        </w:rPr>
        <w:t>Prostate</w:t>
      </w:r>
      <w:proofErr w:type="spellEnd"/>
      <w:r w:rsidRPr="002B3E8E">
        <w:rPr>
          <w:sz w:val="24"/>
          <w:szCs w:val="24"/>
        </w:rPr>
        <w:t xml:space="preserve"> </w:t>
      </w:r>
      <w:proofErr w:type="spellStart"/>
      <w:r w:rsidRPr="002B3E8E">
        <w:rPr>
          <w:sz w:val="24"/>
          <w:szCs w:val="24"/>
        </w:rPr>
        <w:t>Cancer</w:t>
      </w:r>
      <w:proofErr w:type="spellEnd"/>
      <w:r w:rsidRPr="002B3E8E">
        <w:rPr>
          <w:sz w:val="24"/>
          <w:szCs w:val="24"/>
        </w:rPr>
        <w:t xml:space="preserve"> </w:t>
      </w:r>
      <w:proofErr w:type="spellStart"/>
      <w:r w:rsidRPr="002B3E8E">
        <w:rPr>
          <w:sz w:val="24"/>
          <w:szCs w:val="24"/>
        </w:rPr>
        <w:t>Prevention</w:t>
      </w:r>
      <w:proofErr w:type="spellEnd"/>
      <w:r w:rsidRPr="002B3E8E">
        <w:rPr>
          <w:sz w:val="24"/>
          <w:szCs w:val="24"/>
        </w:rPr>
        <w:t xml:space="preserve"> </w:t>
      </w:r>
      <w:proofErr w:type="spellStart"/>
      <w:r w:rsidRPr="002B3E8E">
        <w:rPr>
          <w:sz w:val="24"/>
          <w:szCs w:val="24"/>
        </w:rPr>
        <w:t>Trial</w:t>
      </w:r>
      <w:proofErr w:type="spellEnd"/>
      <w:r w:rsidRPr="002B3E8E">
        <w:rPr>
          <w:sz w:val="24"/>
          <w:szCs w:val="24"/>
        </w:rPr>
        <w:t>, «Исследование по предупреждению рака предстательной железы»), проводимого с участием 18882 мужчин, был зафиксирован 1 случай рака грудной железы у м</w:t>
      </w:r>
      <w:r w:rsidR="00373702">
        <w:rPr>
          <w:sz w:val="24"/>
          <w:szCs w:val="24"/>
        </w:rPr>
        <w:t xml:space="preserve">ужчины, принимавшего </w:t>
      </w:r>
      <w:proofErr w:type="spellStart"/>
      <w:r w:rsidR="00373702">
        <w:rPr>
          <w:sz w:val="24"/>
          <w:szCs w:val="24"/>
        </w:rPr>
        <w:t>финастерид</w:t>
      </w:r>
      <w:proofErr w:type="spellEnd"/>
      <w:r w:rsidRPr="002B3E8E">
        <w:rPr>
          <w:sz w:val="24"/>
          <w:szCs w:val="24"/>
        </w:rPr>
        <w:t xml:space="preserve"> и 1 случай рака грудной железы у мужчины, получавшего плацебо. Были получены пострегистрационные сообщения о случаях рака грудной железы у мужчин, принимавших </w:t>
      </w:r>
      <w:proofErr w:type="spellStart"/>
      <w:r w:rsidRPr="002B3E8E">
        <w:rPr>
          <w:sz w:val="24"/>
          <w:szCs w:val="24"/>
        </w:rPr>
        <w:t>финастерид</w:t>
      </w:r>
      <w:proofErr w:type="spellEnd"/>
      <w:r w:rsidRPr="002B3E8E">
        <w:rPr>
          <w:sz w:val="24"/>
          <w:szCs w:val="24"/>
        </w:rPr>
        <w:t xml:space="preserve">. Связь между долгосрочным приемом </w:t>
      </w:r>
      <w:proofErr w:type="spellStart"/>
      <w:r w:rsidRPr="002B3E8E">
        <w:rPr>
          <w:sz w:val="24"/>
          <w:szCs w:val="24"/>
        </w:rPr>
        <w:t>финастерида</w:t>
      </w:r>
      <w:proofErr w:type="spellEnd"/>
      <w:r w:rsidRPr="002B3E8E">
        <w:rPr>
          <w:sz w:val="24"/>
          <w:szCs w:val="24"/>
        </w:rPr>
        <w:t xml:space="preserve"> и возникновением неоплазии грудной железы у мужчин в настоящее время не установлена.</w:t>
      </w:r>
    </w:p>
    <w:p w:rsidR="00041A53" w:rsidRPr="00041A53" w:rsidRDefault="002B3E8E" w:rsidP="00870BA5">
      <w:pPr>
        <w:widowControl w:val="0"/>
        <w:spacing w:line="360" w:lineRule="auto"/>
        <w:jc w:val="both"/>
        <w:rPr>
          <w:i/>
          <w:sz w:val="24"/>
          <w:szCs w:val="24"/>
        </w:rPr>
      </w:pPr>
      <w:proofErr w:type="spellStart"/>
      <w:r w:rsidRPr="00041A53">
        <w:rPr>
          <w:i/>
          <w:sz w:val="24"/>
          <w:szCs w:val="24"/>
        </w:rPr>
        <w:t>Постмаркетинговый</w:t>
      </w:r>
      <w:proofErr w:type="spellEnd"/>
      <w:r w:rsidRPr="00041A53">
        <w:rPr>
          <w:i/>
          <w:sz w:val="24"/>
          <w:szCs w:val="24"/>
        </w:rPr>
        <w:t xml:space="preserve"> опыт применения</w:t>
      </w:r>
    </w:p>
    <w:p w:rsidR="00D758E1" w:rsidRDefault="002B3E8E" w:rsidP="00870BA5">
      <w:pPr>
        <w:widowControl w:val="0"/>
        <w:spacing w:line="360" w:lineRule="auto"/>
        <w:jc w:val="both"/>
        <w:rPr>
          <w:sz w:val="24"/>
          <w:szCs w:val="24"/>
        </w:rPr>
      </w:pPr>
      <w:r w:rsidRPr="002B3E8E">
        <w:rPr>
          <w:sz w:val="24"/>
          <w:szCs w:val="24"/>
        </w:rPr>
        <w:t>В пост</w:t>
      </w:r>
      <w:r w:rsidR="00041A53">
        <w:rPr>
          <w:sz w:val="24"/>
          <w:szCs w:val="24"/>
        </w:rPr>
        <w:t xml:space="preserve">регистрационной </w:t>
      </w:r>
      <w:r w:rsidRPr="002B3E8E">
        <w:rPr>
          <w:sz w:val="24"/>
          <w:szCs w:val="24"/>
        </w:rPr>
        <w:t xml:space="preserve">практике сообщалось о следующих дополнительных нежелательных эффектах </w:t>
      </w:r>
      <w:proofErr w:type="spellStart"/>
      <w:r w:rsidR="00BC50DE">
        <w:rPr>
          <w:sz w:val="24"/>
          <w:szCs w:val="24"/>
        </w:rPr>
        <w:t>финастерида</w:t>
      </w:r>
      <w:proofErr w:type="spellEnd"/>
      <w:r w:rsidRPr="002B3E8E">
        <w:rPr>
          <w:sz w:val="24"/>
          <w:szCs w:val="24"/>
        </w:rPr>
        <w:t> в низких дозах. Поскольку сообщения о данных реакциях поступали на принципах добровольности, по популяции неизвестного размера, не</w:t>
      </w:r>
      <w:r w:rsidR="003B272A">
        <w:rPr>
          <w:sz w:val="24"/>
          <w:szCs w:val="24"/>
        </w:rPr>
        <w:t> </w:t>
      </w:r>
      <w:r w:rsidRPr="002B3E8E">
        <w:rPr>
          <w:sz w:val="24"/>
          <w:szCs w:val="24"/>
        </w:rPr>
        <w:t>всегда существует возможность достоверной оценки их частоты или установления причинно-следственной связи с воздействием препарата. </w:t>
      </w:r>
    </w:p>
    <w:p w:rsidR="005A59EE" w:rsidRDefault="002B3E8E" w:rsidP="00870BA5">
      <w:pPr>
        <w:widowControl w:val="0"/>
        <w:spacing w:line="360" w:lineRule="auto"/>
        <w:jc w:val="both"/>
        <w:rPr>
          <w:sz w:val="24"/>
          <w:szCs w:val="24"/>
        </w:rPr>
      </w:pPr>
      <w:r w:rsidRPr="00D758E1">
        <w:rPr>
          <w:i/>
          <w:sz w:val="24"/>
          <w:szCs w:val="24"/>
        </w:rPr>
        <w:t>Со стороны иммунной системы:</w:t>
      </w:r>
      <w:r w:rsidRPr="002B3E8E">
        <w:rPr>
          <w:sz w:val="24"/>
          <w:szCs w:val="24"/>
        </w:rPr>
        <w:t xml:space="preserve"> реакции повышенной чувствительности, </w:t>
      </w:r>
      <w:r w:rsidR="00D758E1">
        <w:rPr>
          <w:sz w:val="24"/>
          <w:szCs w:val="24"/>
        </w:rPr>
        <w:t xml:space="preserve">такие как </w:t>
      </w:r>
      <w:r w:rsidRPr="002B3E8E">
        <w:rPr>
          <w:sz w:val="24"/>
          <w:szCs w:val="24"/>
        </w:rPr>
        <w:t>кожный зуд, крапивниц</w:t>
      </w:r>
      <w:r w:rsidR="00D758E1">
        <w:rPr>
          <w:sz w:val="24"/>
          <w:szCs w:val="24"/>
        </w:rPr>
        <w:t xml:space="preserve">а и ангионевротический отек (включая </w:t>
      </w:r>
      <w:r w:rsidRPr="002B3E8E">
        <w:rPr>
          <w:sz w:val="24"/>
          <w:szCs w:val="24"/>
        </w:rPr>
        <w:t>отек губ</w:t>
      </w:r>
      <w:r w:rsidR="00D758E1">
        <w:rPr>
          <w:sz w:val="24"/>
          <w:szCs w:val="24"/>
        </w:rPr>
        <w:t>, языка, гортани</w:t>
      </w:r>
      <w:r w:rsidRPr="002B3E8E">
        <w:rPr>
          <w:sz w:val="24"/>
          <w:szCs w:val="24"/>
        </w:rPr>
        <w:t xml:space="preserve"> и лица</w:t>
      </w:r>
      <w:r w:rsidR="00D758E1">
        <w:rPr>
          <w:sz w:val="24"/>
          <w:szCs w:val="24"/>
        </w:rPr>
        <w:t>)</w:t>
      </w:r>
      <w:r w:rsidRPr="002B3E8E">
        <w:rPr>
          <w:sz w:val="24"/>
          <w:szCs w:val="24"/>
        </w:rPr>
        <w:t>. </w:t>
      </w:r>
      <w:r w:rsidRPr="002B3E8E">
        <w:rPr>
          <w:sz w:val="24"/>
          <w:szCs w:val="24"/>
        </w:rPr>
        <w:br/>
      </w:r>
      <w:r w:rsidRPr="005A59EE">
        <w:rPr>
          <w:i/>
          <w:sz w:val="24"/>
          <w:szCs w:val="24"/>
        </w:rPr>
        <w:t>Со стороны психики</w:t>
      </w:r>
      <w:r w:rsidRPr="002B3E8E">
        <w:rPr>
          <w:sz w:val="24"/>
          <w:szCs w:val="24"/>
        </w:rPr>
        <w:t>: депрессия, снижение либидо, которое может продолжаться после прекращения лечения.</w:t>
      </w:r>
    </w:p>
    <w:p w:rsidR="005A59EE" w:rsidRDefault="002B3E8E" w:rsidP="00870BA5">
      <w:pPr>
        <w:widowControl w:val="0"/>
        <w:spacing w:line="360" w:lineRule="auto"/>
        <w:jc w:val="both"/>
        <w:rPr>
          <w:sz w:val="24"/>
          <w:szCs w:val="24"/>
        </w:rPr>
      </w:pPr>
      <w:r w:rsidRPr="005A59EE">
        <w:rPr>
          <w:i/>
          <w:sz w:val="24"/>
          <w:szCs w:val="24"/>
        </w:rPr>
        <w:t>Со стороны репродуктивной системы и грудных желез</w:t>
      </w:r>
      <w:r w:rsidRPr="002B3E8E">
        <w:rPr>
          <w:sz w:val="24"/>
          <w:szCs w:val="24"/>
        </w:rPr>
        <w:t>: </w:t>
      </w:r>
      <w:r w:rsidR="005A59EE">
        <w:rPr>
          <w:sz w:val="24"/>
          <w:szCs w:val="24"/>
        </w:rPr>
        <w:t>сексуальная дисфункция (</w:t>
      </w:r>
      <w:proofErr w:type="spellStart"/>
      <w:r w:rsidR="005A59EE" w:rsidRPr="002B3E8E">
        <w:rPr>
          <w:sz w:val="24"/>
          <w:szCs w:val="24"/>
        </w:rPr>
        <w:t>эректильная</w:t>
      </w:r>
      <w:proofErr w:type="spellEnd"/>
      <w:r w:rsidR="005A59EE" w:rsidRPr="002B3E8E">
        <w:rPr>
          <w:sz w:val="24"/>
          <w:szCs w:val="24"/>
        </w:rPr>
        <w:t xml:space="preserve"> дисфункция</w:t>
      </w:r>
      <w:r w:rsidR="005A59EE">
        <w:rPr>
          <w:sz w:val="24"/>
          <w:szCs w:val="24"/>
        </w:rPr>
        <w:t xml:space="preserve"> и нарушения эякуляции), </w:t>
      </w:r>
      <w:r w:rsidR="005A59EE" w:rsidRPr="002B3E8E">
        <w:rPr>
          <w:sz w:val="24"/>
          <w:szCs w:val="24"/>
        </w:rPr>
        <w:t xml:space="preserve">которая может продолжаться после прекращения лечения; </w:t>
      </w:r>
      <w:r w:rsidRPr="002B3E8E">
        <w:rPr>
          <w:sz w:val="24"/>
          <w:szCs w:val="24"/>
        </w:rPr>
        <w:t xml:space="preserve">болезненность яичек; мужское бесплодие и/или снижение качества семенной жидкости. Сообщалось, что после отмены </w:t>
      </w:r>
      <w:proofErr w:type="spellStart"/>
      <w:r w:rsidRPr="002B3E8E">
        <w:rPr>
          <w:sz w:val="24"/>
          <w:szCs w:val="24"/>
        </w:rPr>
        <w:t>финастерида</w:t>
      </w:r>
      <w:proofErr w:type="spellEnd"/>
      <w:r w:rsidRPr="002B3E8E">
        <w:rPr>
          <w:sz w:val="24"/>
          <w:szCs w:val="24"/>
        </w:rPr>
        <w:t xml:space="preserve"> качество семенной жидкости нормализовалось или улучшалось.</w:t>
      </w:r>
    </w:p>
    <w:p w:rsidR="001A68F3" w:rsidRPr="001A68F3" w:rsidRDefault="002B3E8E" w:rsidP="00870BA5">
      <w:pPr>
        <w:widowControl w:val="0"/>
        <w:spacing w:line="360" w:lineRule="auto"/>
        <w:jc w:val="both"/>
        <w:rPr>
          <w:b/>
          <w:i/>
          <w:sz w:val="24"/>
          <w:szCs w:val="24"/>
        </w:rPr>
      </w:pPr>
      <w:r w:rsidRPr="001A68F3">
        <w:rPr>
          <w:b/>
          <w:i/>
          <w:sz w:val="24"/>
          <w:szCs w:val="24"/>
        </w:rPr>
        <w:t>Лабораторные показатели</w:t>
      </w:r>
    </w:p>
    <w:p w:rsidR="008A5FA4" w:rsidRDefault="002B3E8E" w:rsidP="008A5FA4">
      <w:pPr>
        <w:widowControl w:val="0"/>
        <w:spacing w:line="360" w:lineRule="auto"/>
        <w:jc w:val="both"/>
        <w:rPr>
          <w:sz w:val="24"/>
          <w:szCs w:val="24"/>
        </w:rPr>
      </w:pPr>
      <w:r w:rsidRPr="002B3E8E">
        <w:rPr>
          <w:sz w:val="24"/>
          <w:szCs w:val="24"/>
        </w:rPr>
        <w:t>При оценке лабораторных показателей простат-специфического антигена (ПСА) следует принимать во внимание снижение его концентрации у пациентов, принимающих</w:t>
      </w:r>
      <w:r w:rsidR="00196A5A">
        <w:rPr>
          <w:sz w:val="24"/>
          <w:szCs w:val="24"/>
        </w:rPr>
        <w:t xml:space="preserve"> </w:t>
      </w:r>
      <w:proofErr w:type="spellStart"/>
      <w:r w:rsidR="00196A5A">
        <w:rPr>
          <w:sz w:val="24"/>
          <w:szCs w:val="24"/>
        </w:rPr>
        <w:t>финастерид</w:t>
      </w:r>
      <w:proofErr w:type="spellEnd"/>
      <w:r w:rsidR="003C1C47">
        <w:rPr>
          <w:sz w:val="24"/>
          <w:szCs w:val="24"/>
        </w:rPr>
        <w:t>.</w:t>
      </w:r>
      <w:r w:rsidRPr="002B3E8E">
        <w:rPr>
          <w:sz w:val="24"/>
          <w:szCs w:val="24"/>
        </w:rPr>
        <w:t> </w:t>
      </w:r>
    </w:p>
    <w:p w:rsidR="002B3E8E" w:rsidRPr="002B3E8E" w:rsidRDefault="002B3E8E" w:rsidP="008A5FA4">
      <w:pPr>
        <w:widowControl w:val="0"/>
        <w:spacing w:line="360" w:lineRule="auto"/>
        <w:jc w:val="both"/>
        <w:rPr>
          <w:sz w:val="24"/>
          <w:szCs w:val="24"/>
        </w:rPr>
      </w:pPr>
      <w:r w:rsidRPr="002B3E8E">
        <w:rPr>
          <w:sz w:val="24"/>
          <w:szCs w:val="24"/>
        </w:rPr>
        <w:t xml:space="preserve">Других различий в уровнях стандартных лабораторных показателей между группами пациентов, получавших </w:t>
      </w:r>
      <w:proofErr w:type="spellStart"/>
      <w:r w:rsidR="008A5FA4">
        <w:rPr>
          <w:sz w:val="24"/>
          <w:szCs w:val="24"/>
        </w:rPr>
        <w:t>финастерид</w:t>
      </w:r>
      <w:proofErr w:type="spellEnd"/>
      <w:r w:rsidR="008A5FA4">
        <w:rPr>
          <w:sz w:val="24"/>
          <w:szCs w:val="24"/>
        </w:rPr>
        <w:t xml:space="preserve"> </w:t>
      </w:r>
      <w:r w:rsidRPr="002B3E8E">
        <w:rPr>
          <w:sz w:val="24"/>
          <w:szCs w:val="24"/>
        </w:rPr>
        <w:t>и плацебо, не наблюдалось.</w:t>
      </w:r>
    </w:p>
    <w:p w:rsidR="00432A72" w:rsidRPr="00B751A1" w:rsidRDefault="00432A72" w:rsidP="00B751A1">
      <w:pPr>
        <w:pStyle w:val="3"/>
        <w:keepNext w:val="0"/>
        <w:widowControl w:val="0"/>
        <w:spacing w:line="360" w:lineRule="auto"/>
        <w:rPr>
          <w:szCs w:val="24"/>
        </w:rPr>
      </w:pPr>
      <w:r w:rsidRPr="00B751A1">
        <w:rPr>
          <w:szCs w:val="24"/>
        </w:rPr>
        <w:t>Передозировка</w:t>
      </w:r>
    </w:p>
    <w:p w:rsidR="00024A32" w:rsidRDefault="00024A32" w:rsidP="00B751A1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Существуют данные, что у пациентов, получавших </w:t>
      </w:r>
      <w:proofErr w:type="spellStart"/>
      <w:r>
        <w:rPr>
          <w:sz w:val="24"/>
          <w:szCs w:val="24"/>
        </w:rPr>
        <w:t>финастерид</w:t>
      </w:r>
      <w:proofErr w:type="spellEnd"/>
      <w:r>
        <w:rPr>
          <w:sz w:val="24"/>
          <w:szCs w:val="24"/>
        </w:rPr>
        <w:t xml:space="preserve"> в дозе до 400 мг однократно, а также в дозе до 80 мг в сутки на протяжении 3-х месяцев, не отмечалось возникновения каких-либо симптомов передозировки.</w:t>
      </w:r>
    </w:p>
    <w:p w:rsidR="00024A32" w:rsidRDefault="00024A32" w:rsidP="00B751A1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Специфических рекомендаций по лечению передозировки </w:t>
      </w:r>
      <w:proofErr w:type="spellStart"/>
      <w:r>
        <w:rPr>
          <w:sz w:val="24"/>
          <w:szCs w:val="24"/>
        </w:rPr>
        <w:t>финастеридом</w:t>
      </w:r>
      <w:proofErr w:type="spellEnd"/>
      <w:r>
        <w:rPr>
          <w:sz w:val="24"/>
          <w:szCs w:val="24"/>
        </w:rPr>
        <w:t xml:space="preserve"> нет.</w:t>
      </w:r>
    </w:p>
    <w:p w:rsidR="007B35A2" w:rsidRPr="00B751A1" w:rsidRDefault="007B35A2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Взаимодействие с другими лекарственными средствами и другие формы взаимодействия</w:t>
      </w:r>
    </w:p>
    <w:p w:rsidR="00172ECB" w:rsidRDefault="00172ECB" w:rsidP="00172ECB">
      <w:pPr>
        <w:widowControl w:val="0"/>
        <w:spacing w:line="360" w:lineRule="auto"/>
        <w:jc w:val="both"/>
        <w:rPr>
          <w:sz w:val="24"/>
          <w:szCs w:val="24"/>
        </w:rPr>
      </w:pPr>
      <w:r w:rsidRPr="00172ECB">
        <w:rPr>
          <w:sz w:val="24"/>
          <w:szCs w:val="24"/>
        </w:rPr>
        <w:t xml:space="preserve">Клинически значимых взаимодействий </w:t>
      </w:r>
      <w:proofErr w:type="spellStart"/>
      <w:r>
        <w:rPr>
          <w:sz w:val="24"/>
          <w:szCs w:val="24"/>
        </w:rPr>
        <w:t>финастерида</w:t>
      </w:r>
      <w:proofErr w:type="spellEnd"/>
      <w:r>
        <w:rPr>
          <w:sz w:val="24"/>
          <w:szCs w:val="24"/>
        </w:rPr>
        <w:t xml:space="preserve"> </w:t>
      </w:r>
      <w:r w:rsidRPr="00172ECB">
        <w:rPr>
          <w:sz w:val="24"/>
          <w:szCs w:val="24"/>
        </w:rPr>
        <w:t>с другими лекарственными средствами не выявлено.</w:t>
      </w:r>
    </w:p>
    <w:p w:rsidR="00172ECB" w:rsidRDefault="00172ECB" w:rsidP="00172ECB">
      <w:pPr>
        <w:widowControl w:val="0"/>
        <w:spacing w:line="360" w:lineRule="auto"/>
        <w:jc w:val="both"/>
        <w:rPr>
          <w:sz w:val="24"/>
          <w:szCs w:val="24"/>
        </w:rPr>
      </w:pPr>
      <w:proofErr w:type="spellStart"/>
      <w:r w:rsidRPr="00172ECB">
        <w:rPr>
          <w:sz w:val="24"/>
          <w:szCs w:val="24"/>
        </w:rPr>
        <w:t>Финастерид</w:t>
      </w:r>
      <w:proofErr w:type="spellEnd"/>
      <w:r w:rsidRPr="00172ECB">
        <w:rPr>
          <w:sz w:val="24"/>
          <w:szCs w:val="24"/>
        </w:rPr>
        <w:t xml:space="preserve">, по-видимому, не оказывает значимого влияния на систему </w:t>
      </w:r>
      <w:proofErr w:type="spellStart"/>
      <w:r w:rsidRPr="00172ECB">
        <w:rPr>
          <w:sz w:val="24"/>
          <w:szCs w:val="24"/>
        </w:rPr>
        <w:t>цитохрома</w:t>
      </w:r>
      <w:proofErr w:type="spellEnd"/>
      <w:r w:rsidRPr="00172ECB">
        <w:rPr>
          <w:sz w:val="24"/>
          <w:szCs w:val="24"/>
        </w:rPr>
        <w:t xml:space="preserve"> </w:t>
      </w:r>
      <w:proofErr w:type="spellStart"/>
      <w:r w:rsidRPr="00172ECB">
        <w:rPr>
          <w:sz w:val="24"/>
          <w:szCs w:val="24"/>
        </w:rPr>
        <w:t>Р450</w:t>
      </w:r>
      <w:proofErr w:type="spellEnd"/>
      <w:r w:rsidRPr="00172ECB">
        <w:rPr>
          <w:sz w:val="24"/>
          <w:szCs w:val="24"/>
        </w:rPr>
        <w:t xml:space="preserve"> и метаболизм лекарственных средств, связанных с данной системой. Не было выявлено клинически значимых взаимодействий при комбинированном применении </w:t>
      </w:r>
      <w:proofErr w:type="spellStart"/>
      <w:r>
        <w:rPr>
          <w:sz w:val="24"/>
          <w:szCs w:val="24"/>
        </w:rPr>
        <w:t>финастерида</w:t>
      </w:r>
      <w:proofErr w:type="spellEnd"/>
      <w:r>
        <w:rPr>
          <w:sz w:val="24"/>
          <w:szCs w:val="24"/>
        </w:rPr>
        <w:t xml:space="preserve"> </w:t>
      </w:r>
      <w:r w:rsidRPr="00172ECB">
        <w:rPr>
          <w:sz w:val="24"/>
          <w:szCs w:val="24"/>
        </w:rPr>
        <w:t>с</w:t>
      </w:r>
      <w:r>
        <w:rPr>
          <w:sz w:val="24"/>
          <w:szCs w:val="24"/>
        </w:rPr>
        <w:t> </w:t>
      </w:r>
      <w:proofErr w:type="spellStart"/>
      <w:r w:rsidRPr="00172ECB">
        <w:rPr>
          <w:sz w:val="24"/>
          <w:szCs w:val="24"/>
        </w:rPr>
        <w:t>пропранололом</w:t>
      </w:r>
      <w:proofErr w:type="spellEnd"/>
      <w:r w:rsidRPr="00172ECB">
        <w:rPr>
          <w:sz w:val="24"/>
          <w:szCs w:val="24"/>
        </w:rPr>
        <w:t xml:space="preserve">, дигоксином, </w:t>
      </w:r>
      <w:proofErr w:type="spellStart"/>
      <w:r w:rsidRPr="00172ECB">
        <w:rPr>
          <w:sz w:val="24"/>
          <w:szCs w:val="24"/>
        </w:rPr>
        <w:t>глибенкламидом</w:t>
      </w:r>
      <w:proofErr w:type="spellEnd"/>
      <w:r w:rsidRPr="00172ECB">
        <w:rPr>
          <w:sz w:val="24"/>
          <w:szCs w:val="24"/>
        </w:rPr>
        <w:t xml:space="preserve">, </w:t>
      </w:r>
      <w:proofErr w:type="spellStart"/>
      <w:r w:rsidRPr="00172ECB">
        <w:rPr>
          <w:sz w:val="24"/>
          <w:szCs w:val="24"/>
        </w:rPr>
        <w:t>варфарином</w:t>
      </w:r>
      <w:proofErr w:type="spellEnd"/>
      <w:r w:rsidRPr="00172ECB">
        <w:rPr>
          <w:sz w:val="24"/>
          <w:szCs w:val="24"/>
        </w:rPr>
        <w:t xml:space="preserve">, теофиллином и </w:t>
      </w:r>
      <w:proofErr w:type="spellStart"/>
      <w:r w:rsidRPr="00172ECB">
        <w:rPr>
          <w:sz w:val="24"/>
          <w:szCs w:val="24"/>
        </w:rPr>
        <w:t>феназоном</w:t>
      </w:r>
      <w:proofErr w:type="spellEnd"/>
      <w:r w:rsidRPr="00172ECB">
        <w:rPr>
          <w:sz w:val="24"/>
          <w:szCs w:val="24"/>
        </w:rPr>
        <w:t>.</w:t>
      </w:r>
    </w:p>
    <w:p w:rsidR="00172ECB" w:rsidRPr="00172ECB" w:rsidRDefault="00172ECB" w:rsidP="00172ECB">
      <w:pPr>
        <w:widowControl w:val="0"/>
        <w:spacing w:line="360" w:lineRule="auto"/>
        <w:jc w:val="both"/>
        <w:rPr>
          <w:sz w:val="24"/>
          <w:szCs w:val="24"/>
        </w:rPr>
      </w:pPr>
      <w:r w:rsidRPr="00172ECB">
        <w:rPr>
          <w:sz w:val="24"/>
          <w:szCs w:val="24"/>
        </w:rPr>
        <w:t>Несмотря на отсутствие специальных исследований лекарственного взаимодействия, в</w:t>
      </w:r>
      <w:r>
        <w:rPr>
          <w:sz w:val="24"/>
          <w:szCs w:val="24"/>
        </w:rPr>
        <w:t> </w:t>
      </w:r>
      <w:r w:rsidRPr="00172ECB">
        <w:rPr>
          <w:sz w:val="24"/>
          <w:szCs w:val="24"/>
        </w:rPr>
        <w:t xml:space="preserve">клинических исследованиях </w:t>
      </w:r>
      <w:proofErr w:type="spellStart"/>
      <w:r>
        <w:rPr>
          <w:sz w:val="24"/>
          <w:szCs w:val="24"/>
        </w:rPr>
        <w:t>финастерид</w:t>
      </w:r>
      <w:proofErr w:type="spellEnd"/>
      <w:r>
        <w:rPr>
          <w:sz w:val="24"/>
          <w:szCs w:val="24"/>
        </w:rPr>
        <w:t xml:space="preserve"> </w:t>
      </w:r>
      <w:r w:rsidRPr="00172ECB">
        <w:rPr>
          <w:sz w:val="24"/>
          <w:szCs w:val="24"/>
        </w:rPr>
        <w:t xml:space="preserve">применялся совместно с ингибиторами </w:t>
      </w:r>
      <w:proofErr w:type="spellStart"/>
      <w:r w:rsidRPr="00172ECB">
        <w:rPr>
          <w:sz w:val="24"/>
          <w:szCs w:val="24"/>
        </w:rPr>
        <w:t>анг</w:t>
      </w:r>
      <w:r w:rsidR="008C1BE6">
        <w:rPr>
          <w:sz w:val="24"/>
          <w:szCs w:val="24"/>
        </w:rPr>
        <w:t>иотензин</w:t>
      </w:r>
      <w:proofErr w:type="spellEnd"/>
      <w:r w:rsidR="008C1BE6">
        <w:rPr>
          <w:sz w:val="24"/>
          <w:szCs w:val="24"/>
        </w:rPr>
        <w:t>-превращ</w:t>
      </w:r>
      <w:r>
        <w:rPr>
          <w:sz w:val="24"/>
          <w:szCs w:val="24"/>
        </w:rPr>
        <w:t>ающего фермента</w:t>
      </w:r>
      <w:r w:rsidRPr="00172ECB">
        <w:rPr>
          <w:sz w:val="24"/>
          <w:szCs w:val="24"/>
        </w:rPr>
        <w:t>, парацетамолом, ацетилсалициловой кислотой, альфа-</w:t>
      </w:r>
      <w:proofErr w:type="spellStart"/>
      <w:r w:rsidRPr="00172ECB">
        <w:rPr>
          <w:sz w:val="24"/>
          <w:szCs w:val="24"/>
        </w:rPr>
        <w:t>адреноблокаторами</w:t>
      </w:r>
      <w:proofErr w:type="spellEnd"/>
      <w:r w:rsidRPr="00172ECB">
        <w:rPr>
          <w:sz w:val="24"/>
          <w:szCs w:val="24"/>
        </w:rPr>
        <w:t xml:space="preserve">, бета-адреноблокаторами, блокаторами «медленных» кальциевых каналов, нитратами в различных лекарственных формах, диуретиками, блокаторами </w:t>
      </w:r>
      <w:proofErr w:type="spellStart"/>
      <w:r w:rsidRPr="00172ECB">
        <w:rPr>
          <w:sz w:val="24"/>
          <w:szCs w:val="24"/>
        </w:rPr>
        <w:t>Н</w:t>
      </w:r>
      <w:r w:rsidRPr="00172ECB">
        <w:rPr>
          <w:sz w:val="24"/>
          <w:szCs w:val="24"/>
          <w:vertAlign w:val="subscript"/>
        </w:rPr>
        <w:t>2</w:t>
      </w:r>
      <w:r w:rsidRPr="00172ECB">
        <w:rPr>
          <w:sz w:val="24"/>
          <w:szCs w:val="24"/>
        </w:rPr>
        <w:t>-гистаминовых</w:t>
      </w:r>
      <w:proofErr w:type="spellEnd"/>
      <w:r w:rsidRPr="00172ECB">
        <w:rPr>
          <w:sz w:val="24"/>
          <w:szCs w:val="24"/>
        </w:rPr>
        <w:t xml:space="preserve"> рецепторов, </w:t>
      </w:r>
      <w:proofErr w:type="spellStart"/>
      <w:r w:rsidRPr="00172ECB">
        <w:rPr>
          <w:sz w:val="24"/>
          <w:szCs w:val="24"/>
        </w:rPr>
        <w:t>гиполипидемическими</w:t>
      </w:r>
      <w:proofErr w:type="spellEnd"/>
      <w:r w:rsidRPr="00172ECB">
        <w:rPr>
          <w:sz w:val="24"/>
          <w:szCs w:val="24"/>
        </w:rPr>
        <w:t xml:space="preserve"> средствами</w:t>
      </w:r>
      <w:r>
        <w:rPr>
          <w:sz w:val="24"/>
          <w:szCs w:val="24"/>
        </w:rPr>
        <w:t xml:space="preserve"> – </w:t>
      </w:r>
      <w:r w:rsidRPr="00172ECB">
        <w:rPr>
          <w:sz w:val="24"/>
          <w:szCs w:val="24"/>
        </w:rPr>
        <w:t xml:space="preserve">ингибиторами </w:t>
      </w:r>
      <w:proofErr w:type="spellStart"/>
      <w:r w:rsidRPr="00172ECB">
        <w:rPr>
          <w:sz w:val="24"/>
          <w:szCs w:val="24"/>
        </w:rPr>
        <w:t>ГМГ-КоА-редуктазы</w:t>
      </w:r>
      <w:proofErr w:type="spellEnd"/>
      <w:r w:rsidRPr="00172ECB">
        <w:rPr>
          <w:sz w:val="24"/>
          <w:szCs w:val="24"/>
        </w:rPr>
        <w:t>, нестероидными противово</w:t>
      </w:r>
      <w:r>
        <w:rPr>
          <w:sz w:val="24"/>
          <w:szCs w:val="24"/>
        </w:rPr>
        <w:t>спалительными препаратами</w:t>
      </w:r>
      <w:r w:rsidRPr="00172ECB">
        <w:rPr>
          <w:sz w:val="24"/>
          <w:szCs w:val="24"/>
        </w:rPr>
        <w:t xml:space="preserve">, производными </w:t>
      </w:r>
      <w:proofErr w:type="spellStart"/>
      <w:r w:rsidRPr="00172ECB">
        <w:rPr>
          <w:sz w:val="24"/>
          <w:szCs w:val="24"/>
        </w:rPr>
        <w:t>хинолона</w:t>
      </w:r>
      <w:proofErr w:type="spellEnd"/>
      <w:r w:rsidRPr="00172ECB">
        <w:rPr>
          <w:sz w:val="24"/>
          <w:szCs w:val="24"/>
        </w:rPr>
        <w:t xml:space="preserve"> и </w:t>
      </w:r>
      <w:proofErr w:type="spellStart"/>
      <w:r w:rsidRPr="00172ECB">
        <w:rPr>
          <w:sz w:val="24"/>
          <w:szCs w:val="24"/>
        </w:rPr>
        <w:t>бензодиазепин</w:t>
      </w:r>
      <w:r>
        <w:rPr>
          <w:sz w:val="24"/>
          <w:szCs w:val="24"/>
        </w:rPr>
        <w:t>а</w:t>
      </w:r>
      <w:proofErr w:type="spellEnd"/>
      <w:r w:rsidRPr="00172ECB">
        <w:rPr>
          <w:sz w:val="24"/>
          <w:szCs w:val="24"/>
        </w:rPr>
        <w:t xml:space="preserve"> без каких-либо клинически значимых неблагоприятных взаимодействий.</w:t>
      </w:r>
    </w:p>
    <w:p w:rsidR="00B76BF4" w:rsidRPr="00B751A1" w:rsidRDefault="00B76BF4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Особые указания</w:t>
      </w:r>
    </w:p>
    <w:p w:rsidR="00DF7A95" w:rsidRPr="00DF7A95" w:rsidRDefault="000A7A25" w:rsidP="000A7A25">
      <w:pPr>
        <w:widowControl w:val="0"/>
        <w:spacing w:line="360" w:lineRule="auto"/>
        <w:jc w:val="both"/>
        <w:rPr>
          <w:b/>
          <w:i/>
          <w:sz w:val="24"/>
          <w:szCs w:val="24"/>
        </w:rPr>
      </w:pPr>
      <w:r w:rsidRPr="00DF7A95">
        <w:rPr>
          <w:b/>
          <w:i/>
          <w:sz w:val="24"/>
          <w:szCs w:val="24"/>
        </w:rPr>
        <w:t>Влияние на содержание ПСА и диагностику рака предстательной железы</w:t>
      </w:r>
    </w:p>
    <w:p w:rsidR="00A605AF" w:rsidRDefault="000A7A25" w:rsidP="000A7A25">
      <w:pPr>
        <w:widowControl w:val="0"/>
        <w:spacing w:line="360" w:lineRule="auto"/>
        <w:jc w:val="both"/>
        <w:rPr>
          <w:sz w:val="24"/>
          <w:szCs w:val="24"/>
        </w:rPr>
      </w:pPr>
      <w:r w:rsidRPr="000A7A25">
        <w:rPr>
          <w:sz w:val="24"/>
          <w:szCs w:val="24"/>
        </w:rPr>
        <w:t xml:space="preserve">До настоящего времени не доказаны клинические преимущества применения </w:t>
      </w:r>
      <w:proofErr w:type="spellStart"/>
      <w:r w:rsidR="00683F21">
        <w:rPr>
          <w:sz w:val="24"/>
          <w:szCs w:val="24"/>
        </w:rPr>
        <w:t>финастерида</w:t>
      </w:r>
      <w:proofErr w:type="spellEnd"/>
      <w:r w:rsidR="00683F21">
        <w:rPr>
          <w:sz w:val="24"/>
          <w:szCs w:val="24"/>
        </w:rPr>
        <w:t xml:space="preserve"> </w:t>
      </w:r>
      <w:r w:rsidRPr="000A7A25">
        <w:rPr>
          <w:sz w:val="24"/>
          <w:szCs w:val="24"/>
        </w:rPr>
        <w:t xml:space="preserve">у пациентов с раком предстательной железы. В контролируемых клинических исследованиях у пациентов с </w:t>
      </w:r>
      <w:proofErr w:type="spellStart"/>
      <w:r w:rsidRPr="000A7A25">
        <w:rPr>
          <w:sz w:val="24"/>
          <w:szCs w:val="24"/>
        </w:rPr>
        <w:t>ДГПЖ</w:t>
      </w:r>
      <w:proofErr w:type="spellEnd"/>
      <w:r w:rsidRPr="000A7A25">
        <w:rPr>
          <w:sz w:val="24"/>
          <w:szCs w:val="24"/>
        </w:rPr>
        <w:t xml:space="preserve"> и повышенной концентрацией ПСА проводился мониторинг содержания ПСА и результатов исследований биопсии предстательной железы. Было установлено, что применение </w:t>
      </w:r>
      <w:proofErr w:type="spellStart"/>
      <w:r w:rsidR="00683F21">
        <w:rPr>
          <w:sz w:val="24"/>
          <w:szCs w:val="24"/>
        </w:rPr>
        <w:t>финастерида</w:t>
      </w:r>
      <w:proofErr w:type="spellEnd"/>
      <w:r w:rsidRPr="000A7A25">
        <w:rPr>
          <w:sz w:val="24"/>
          <w:szCs w:val="24"/>
        </w:rPr>
        <w:t xml:space="preserve">, по-видимому, не изменяет частоту выявления рака предстательной железы и не влияет на частоту его возникновения у пациентов, принимавших </w:t>
      </w:r>
      <w:proofErr w:type="spellStart"/>
      <w:r w:rsidR="00683F21">
        <w:rPr>
          <w:sz w:val="24"/>
          <w:szCs w:val="24"/>
        </w:rPr>
        <w:t>финастерид</w:t>
      </w:r>
      <w:proofErr w:type="spellEnd"/>
      <w:r w:rsidR="00683F21">
        <w:rPr>
          <w:sz w:val="24"/>
          <w:szCs w:val="24"/>
        </w:rPr>
        <w:t xml:space="preserve"> </w:t>
      </w:r>
      <w:r w:rsidRPr="000A7A25">
        <w:rPr>
          <w:sz w:val="24"/>
          <w:szCs w:val="24"/>
        </w:rPr>
        <w:t>или плацебо.</w:t>
      </w:r>
    </w:p>
    <w:p w:rsidR="00F10052" w:rsidRDefault="000A7A25" w:rsidP="000A7A25">
      <w:pPr>
        <w:widowControl w:val="0"/>
        <w:spacing w:line="360" w:lineRule="auto"/>
        <w:jc w:val="both"/>
        <w:rPr>
          <w:sz w:val="24"/>
          <w:szCs w:val="24"/>
        </w:rPr>
      </w:pPr>
      <w:r w:rsidRPr="000A7A25">
        <w:rPr>
          <w:sz w:val="24"/>
          <w:szCs w:val="24"/>
        </w:rPr>
        <w:t xml:space="preserve">Перед началом лечения и периодически в процессе терапии </w:t>
      </w:r>
      <w:proofErr w:type="spellStart"/>
      <w:r w:rsidR="00A605AF">
        <w:rPr>
          <w:sz w:val="24"/>
          <w:szCs w:val="24"/>
        </w:rPr>
        <w:t>финастеридом</w:t>
      </w:r>
      <w:proofErr w:type="spellEnd"/>
      <w:r w:rsidR="00A605AF">
        <w:rPr>
          <w:sz w:val="24"/>
          <w:szCs w:val="24"/>
        </w:rPr>
        <w:t xml:space="preserve"> </w:t>
      </w:r>
      <w:r w:rsidRPr="000A7A25">
        <w:rPr>
          <w:sz w:val="24"/>
          <w:szCs w:val="24"/>
        </w:rPr>
        <w:t xml:space="preserve">рекомендуется проводить ректальное исследование и применять другие методы диагностики рака предстательной железы. Определение сывороточного ПСА также используется для выявления рака предстательной железы. В целом, </w:t>
      </w:r>
      <w:r w:rsidR="00A605AF">
        <w:rPr>
          <w:sz w:val="24"/>
          <w:szCs w:val="24"/>
        </w:rPr>
        <w:t>исходная концентрация ПСА выше 10 </w:t>
      </w:r>
      <w:proofErr w:type="spellStart"/>
      <w:r w:rsidRPr="000A7A25">
        <w:rPr>
          <w:sz w:val="24"/>
          <w:szCs w:val="24"/>
        </w:rPr>
        <w:t>нг</w:t>
      </w:r>
      <w:proofErr w:type="spellEnd"/>
      <w:r w:rsidRPr="000A7A25">
        <w:rPr>
          <w:sz w:val="24"/>
          <w:szCs w:val="24"/>
        </w:rPr>
        <w:t>/мл говорит о необходимости дальнейшего обследования пациента и проведения биопсии. При определении концентрации ПСА в пределах 4</w:t>
      </w:r>
      <w:r w:rsidR="00A605AF">
        <w:rPr>
          <w:sz w:val="24"/>
          <w:szCs w:val="24"/>
        </w:rPr>
        <w:t>-</w:t>
      </w:r>
      <w:r w:rsidRPr="000A7A25">
        <w:rPr>
          <w:sz w:val="24"/>
          <w:szCs w:val="24"/>
        </w:rPr>
        <w:t xml:space="preserve">10 </w:t>
      </w:r>
      <w:proofErr w:type="spellStart"/>
      <w:r w:rsidRPr="000A7A25">
        <w:rPr>
          <w:sz w:val="24"/>
          <w:szCs w:val="24"/>
        </w:rPr>
        <w:t>нг</w:t>
      </w:r>
      <w:proofErr w:type="spellEnd"/>
      <w:r w:rsidRPr="000A7A25">
        <w:rPr>
          <w:sz w:val="24"/>
          <w:szCs w:val="24"/>
        </w:rPr>
        <w:t xml:space="preserve">/мл дальнейшее обследование пациента необходимо. Концентрация ПСА у мужчин с раком предстательной железы и без данного заболевания может совпадать в значительной степени, поэтому у мужчин с </w:t>
      </w:r>
      <w:proofErr w:type="spellStart"/>
      <w:r w:rsidRPr="000A7A25">
        <w:rPr>
          <w:sz w:val="24"/>
          <w:szCs w:val="24"/>
        </w:rPr>
        <w:t>ДГПЖ</w:t>
      </w:r>
      <w:proofErr w:type="spellEnd"/>
      <w:r w:rsidRPr="000A7A25">
        <w:rPr>
          <w:sz w:val="24"/>
          <w:szCs w:val="24"/>
        </w:rPr>
        <w:t xml:space="preserve"> нормальные значения ПСА не позволяют исключить рак предстательной железы, независимо от лечения </w:t>
      </w:r>
      <w:proofErr w:type="spellStart"/>
      <w:r w:rsidR="00A605AF">
        <w:rPr>
          <w:sz w:val="24"/>
          <w:szCs w:val="24"/>
        </w:rPr>
        <w:t>финастеридом</w:t>
      </w:r>
      <w:proofErr w:type="spellEnd"/>
      <w:r w:rsidRPr="000A7A25">
        <w:rPr>
          <w:sz w:val="24"/>
          <w:szCs w:val="24"/>
        </w:rPr>
        <w:t xml:space="preserve">. Исходная концентрация ПСА ниже 4 </w:t>
      </w:r>
      <w:proofErr w:type="spellStart"/>
      <w:r w:rsidRPr="000A7A25">
        <w:rPr>
          <w:sz w:val="24"/>
          <w:szCs w:val="24"/>
        </w:rPr>
        <w:t>нг</w:t>
      </w:r>
      <w:proofErr w:type="spellEnd"/>
      <w:r w:rsidRPr="000A7A25">
        <w:rPr>
          <w:sz w:val="24"/>
          <w:szCs w:val="24"/>
        </w:rPr>
        <w:t>/мл, также не исключает рак предстательной железы. </w:t>
      </w:r>
    </w:p>
    <w:p w:rsidR="00CC5232" w:rsidRDefault="00F10052" w:rsidP="000A7A25">
      <w:pPr>
        <w:widowControl w:val="0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Финастерид</w:t>
      </w:r>
      <w:proofErr w:type="spellEnd"/>
      <w:r>
        <w:rPr>
          <w:sz w:val="24"/>
          <w:szCs w:val="24"/>
        </w:rPr>
        <w:t xml:space="preserve"> </w:t>
      </w:r>
      <w:r w:rsidR="000A7A25" w:rsidRPr="000A7A25">
        <w:rPr>
          <w:sz w:val="24"/>
          <w:szCs w:val="24"/>
        </w:rPr>
        <w:t xml:space="preserve">вызывает уменьшение концентрации сывороточного ПСА приблизительно на 50% у пациентов с </w:t>
      </w:r>
      <w:proofErr w:type="spellStart"/>
      <w:r w:rsidR="000A7A25" w:rsidRPr="000A7A25">
        <w:rPr>
          <w:sz w:val="24"/>
          <w:szCs w:val="24"/>
        </w:rPr>
        <w:t>ДГПЖ</w:t>
      </w:r>
      <w:proofErr w:type="spellEnd"/>
      <w:r w:rsidR="000A7A25" w:rsidRPr="000A7A25">
        <w:rPr>
          <w:sz w:val="24"/>
          <w:szCs w:val="24"/>
        </w:rPr>
        <w:t xml:space="preserve">, даже при наличии рака предстательной железы. Данный факт необходимо принимать во внимание при оценке содержания ПСА у пациентов с </w:t>
      </w:r>
      <w:proofErr w:type="spellStart"/>
      <w:r w:rsidR="000A7A25" w:rsidRPr="000A7A25">
        <w:rPr>
          <w:sz w:val="24"/>
          <w:szCs w:val="24"/>
        </w:rPr>
        <w:t>ДГПЖ</w:t>
      </w:r>
      <w:proofErr w:type="spellEnd"/>
      <w:r w:rsidR="000A7A25" w:rsidRPr="000A7A25">
        <w:rPr>
          <w:sz w:val="24"/>
          <w:szCs w:val="24"/>
        </w:rPr>
        <w:t xml:space="preserve">, получающих </w:t>
      </w:r>
      <w:proofErr w:type="spellStart"/>
      <w:r w:rsidR="00040FAF">
        <w:rPr>
          <w:sz w:val="24"/>
          <w:szCs w:val="24"/>
        </w:rPr>
        <w:t>финастерид</w:t>
      </w:r>
      <w:proofErr w:type="spellEnd"/>
      <w:r w:rsidR="000A7A25" w:rsidRPr="000A7A25">
        <w:rPr>
          <w:sz w:val="24"/>
          <w:szCs w:val="24"/>
        </w:rPr>
        <w:t xml:space="preserve">, так как снижение концентрации ПСА не исключает наличия сопутствующего рака предстательной железы. Данное снижение возможно предвидеть при любом диапазоне значений концентрации ПСА, хотя оно может отличаться у конкретных пациентов. Анализ значений ПСА у более чем 3000 пациентов в 4-летнем двойном слепом плацебо-контролируемом исследовании </w:t>
      </w:r>
      <w:proofErr w:type="spellStart"/>
      <w:r w:rsidR="000A7A25" w:rsidRPr="00040FAF">
        <w:rPr>
          <w:i/>
          <w:sz w:val="24"/>
          <w:szCs w:val="24"/>
        </w:rPr>
        <w:t>PLESS</w:t>
      </w:r>
      <w:proofErr w:type="spellEnd"/>
      <w:r w:rsidR="000A7A25" w:rsidRPr="000A7A25">
        <w:rPr>
          <w:sz w:val="24"/>
          <w:szCs w:val="24"/>
        </w:rPr>
        <w:t xml:space="preserve"> подтвердил, что у принимавших</w:t>
      </w:r>
      <w:r w:rsidR="00CC5232">
        <w:rPr>
          <w:sz w:val="24"/>
          <w:szCs w:val="24"/>
        </w:rPr>
        <w:t xml:space="preserve"> </w:t>
      </w:r>
      <w:proofErr w:type="spellStart"/>
      <w:r w:rsidR="00CC5232">
        <w:rPr>
          <w:sz w:val="24"/>
          <w:szCs w:val="24"/>
        </w:rPr>
        <w:t>финастерид</w:t>
      </w:r>
      <w:proofErr w:type="spellEnd"/>
      <w:r w:rsidR="000A7A25" w:rsidRPr="000A7A25">
        <w:rPr>
          <w:sz w:val="24"/>
          <w:szCs w:val="24"/>
        </w:rPr>
        <w:t xml:space="preserve"> в течение 6 месяцев или более, значения ПСА должны быть удвоены для их сопоставления с нормальными значениями данного показателя у пациентов, не получающих лечения препаратом. Эта коррекция сохраняет чувствительность и специфичность анализа ПСА и возможность выявления рака предстательной железы.</w:t>
      </w:r>
    </w:p>
    <w:p w:rsidR="00CC5232" w:rsidRDefault="000A7A25" w:rsidP="000A7A25">
      <w:pPr>
        <w:widowControl w:val="0"/>
        <w:spacing w:line="360" w:lineRule="auto"/>
        <w:jc w:val="both"/>
        <w:rPr>
          <w:sz w:val="24"/>
          <w:szCs w:val="24"/>
        </w:rPr>
      </w:pPr>
      <w:r w:rsidRPr="000A7A25">
        <w:rPr>
          <w:sz w:val="24"/>
          <w:szCs w:val="24"/>
        </w:rPr>
        <w:t xml:space="preserve">Любое сохраняющееся увеличение концентрации ПСА у пациентов, получающих лечение </w:t>
      </w:r>
      <w:proofErr w:type="spellStart"/>
      <w:r w:rsidRPr="000A7A25">
        <w:rPr>
          <w:sz w:val="24"/>
          <w:szCs w:val="24"/>
        </w:rPr>
        <w:t>финастеридом</w:t>
      </w:r>
      <w:proofErr w:type="spellEnd"/>
      <w:r w:rsidRPr="000A7A25">
        <w:rPr>
          <w:sz w:val="24"/>
          <w:szCs w:val="24"/>
        </w:rPr>
        <w:t xml:space="preserve">, требует тщательного обследования для выяснения причины, которая может заключаться в несоблюдении режима приема </w:t>
      </w:r>
      <w:proofErr w:type="spellStart"/>
      <w:r w:rsidR="00CC5232">
        <w:rPr>
          <w:sz w:val="24"/>
          <w:szCs w:val="24"/>
        </w:rPr>
        <w:t>финастерида</w:t>
      </w:r>
      <w:proofErr w:type="spellEnd"/>
      <w:r w:rsidRPr="000A7A25">
        <w:rPr>
          <w:sz w:val="24"/>
          <w:szCs w:val="24"/>
        </w:rPr>
        <w:t>.</w:t>
      </w:r>
    </w:p>
    <w:p w:rsidR="000A7A25" w:rsidRDefault="00760B9F" w:rsidP="000A7A25">
      <w:pPr>
        <w:widowControl w:val="0"/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Финастерид</w:t>
      </w:r>
      <w:proofErr w:type="spellEnd"/>
      <w:r>
        <w:rPr>
          <w:sz w:val="24"/>
          <w:szCs w:val="24"/>
        </w:rPr>
        <w:t xml:space="preserve"> </w:t>
      </w:r>
      <w:r w:rsidR="000A7A25" w:rsidRPr="000A7A25">
        <w:rPr>
          <w:sz w:val="24"/>
          <w:szCs w:val="24"/>
        </w:rPr>
        <w:t>существенно не снижает процент свободного ПСА (отношение свободного ПСА к общему). Данный показатель остается постоянным даже под в</w:t>
      </w:r>
      <w:r>
        <w:rPr>
          <w:sz w:val="24"/>
          <w:szCs w:val="24"/>
        </w:rPr>
        <w:t>лиянием приема препарата</w:t>
      </w:r>
      <w:r w:rsidR="000A7A25" w:rsidRPr="000A7A25">
        <w:rPr>
          <w:sz w:val="24"/>
          <w:szCs w:val="24"/>
        </w:rPr>
        <w:t>. Если для диагностики рака предстательной железы используется процент свободного ПСА, коррекция значений данного показателя необязательна.</w:t>
      </w:r>
    </w:p>
    <w:p w:rsidR="00760B9F" w:rsidRDefault="000A7A25" w:rsidP="000A7A25">
      <w:pPr>
        <w:widowControl w:val="0"/>
        <w:spacing w:line="360" w:lineRule="auto"/>
        <w:jc w:val="both"/>
        <w:rPr>
          <w:b/>
          <w:i/>
          <w:sz w:val="24"/>
          <w:szCs w:val="24"/>
        </w:rPr>
      </w:pPr>
      <w:r w:rsidRPr="00760B9F">
        <w:rPr>
          <w:b/>
          <w:i/>
          <w:sz w:val="24"/>
          <w:szCs w:val="24"/>
        </w:rPr>
        <w:t>Влияние на лабораторные показатели</w:t>
      </w:r>
    </w:p>
    <w:p w:rsidR="0093224F" w:rsidRPr="0093224F" w:rsidRDefault="000A7A25" w:rsidP="000A7A25">
      <w:pPr>
        <w:widowControl w:val="0"/>
        <w:spacing w:line="360" w:lineRule="auto"/>
        <w:jc w:val="both"/>
        <w:rPr>
          <w:i/>
          <w:sz w:val="24"/>
          <w:szCs w:val="24"/>
        </w:rPr>
      </w:pPr>
      <w:r w:rsidRPr="0093224F">
        <w:rPr>
          <w:i/>
          <w:sz w:val="24"/>
          <w:szCs w:val="24"/>
        </w:rPr>
        <w:t>Содержание ПСА</w:t>
      </w:r>
    </w:p>
    <w:p w:rsidR="000A7A25" w:rsidRPr="000A7A25" w:rsidRDefault="000A7A25" w:rsidP="000A7A25">
      <w:pPr>
        <w:widowControl w:val="0"/>
        <w:spacing w:line="360" w:lineRule="auto"/>
        <w:jc w:val="both"/>
        <w:rPr>
          <w:sz w:val="24"/>
          <w:szCs w:val="24"/>
        </w:rPr>
      </w:pPr>
      <w:r w:rsidRPr="000A7A25">
        <w:rPr>
          <w:sz w:val="24"/>
          <w:szCs w:val="24"/>
        </w:rPr>
        <w:t xml:space="preserve">Концентрация ПСА в плазме крови коррелирует с возрастом пациента и объемом предстательной железы, а объем предстательной железы, в свою очередь, зависит от возраста пациента. При определении концентрации ПСА следует учитывать, что данный показатель снижается у пациентов, принимающих </w:t>
      </w:r>
      <w:proofErr w:type="spellStart"/>
      <w:r w:rsidR="0093224F">
        <w:rPr>
          <w:sz w:val="24"/>
          <w:szCs w:val="24"/>
        </w:rPr>
        <w:t>финастерид</w:t>
      </w:r>
      <w:proofErr w:type="spellEnd"/>
      <w:r w:rsidRPr="000A7A25">
        <w:rPr>
          <w:sz w:val="24"/>
          <w:szCs w:val="24"/>
        </w:rPr>
        <w:t xml:space="preserve">. У большинства пациентов быстрое снижение содержания ПСА наблюдается в первые месяцы терапии, после чего происходит его стабилизация на новом уровне, который обычно составляет приблизительно половину значения, измеренного до начала терапии. В связи с этим, у пациентов, принимающих </w:t>
      </w:r>
      <w:proofErr w:type="spellStart"/>
      <w:r w:rsidR="0093224F">
        <w:rPr>
          <w:sz w:val="24"/>
          <w:szCs w:val="24"/>
        </w:rPr>
        <w:t>финастерид</w:t>
      </w:r>
      <w:proofErr w:type="spellEnd"/>
      <w:r w:rsidRPr="000A7A25">
        <w:rPr>
          <w:sz w:val="24"/>
          <w:szCs w:val="24"/>
        </w:rPr>
        <w:t xml:space="preserve"> в течение 6-и и более месяцев, следует удваивать значение концентрации ПСА для сопоставления ее с нормальными показателями у мужчин, не принимающих </w:t>
      </w:r>
      <w:r w:rsidR="0093224F">
        <w:rPr>
          <w:sz w:val="24"/>
          <w:szCs w:val="24"/>
        </w:rPr>
        <w:t>препарат</w:t>
      </w:r>
      <w:r w:rsidRPr="000A7A25">
        <w:rPr>
          <w:sz w:val="24"/>
          <w:szCs w:val="24"/>
        </w:rPr>
        <w:t>.</w:t>
      </w:r>
    </w:p>
    <w:p w:rsidR="00D65B97" w:rsidRPr="00D65B97" w:rsidRDefault="000A7A25" w:rsidP="000A7A25">
      <w:pPr>
        <w:widowControl w:val="0"/>
        <w:spacing w:line="360" w:lineRule="auto"/>
        <w:jc w:val="both"/>
        <w:rPr>
          <w:b/>
          <w:i/>
          <w:sz w:val="24"/>
          <w:szCs w:val="24"/>
        </w:rPr>
      </w:pPr>
      <w:r w:rsidRPr="00D65B97">
        <w:rPr>
          <w:b/>
          <w:i/>
          <w:sz w:val="24"/>
          <w:szCs w:val="24"/>
        </w:rPr>
        <w:t xml:space="preserve">Контакт с </w:t>
      </w:r>
      <w:proofErr w:type="spellStart"/>
      <w:r w:rsidRPr="00D65B97">
        <w:rPr>
          <w:b/>
          <w:i/>
          <w:sz w:val="24"/>
          <w:szCs w:val="24"/>
        </w:rPr>
        <w:t>финастеридом</w:t>
      </w:r>
      <w:proofErr w:type="spellEnd"/>
      <w:r w:rsidRPr="00D65B97">
        <w:rPr>
          <w:b/>
          <w:i/>
          <w:sz w:val="24"/>
          <w:szCs w:val="24"/>
        </w:rPr>
        <w:t xml:space="preserve"> связан с риском тератогенного эффекта для плода мужского пола</w:t>
      </w:r>
    </w:p>
    <w:p w:rsidR="000A7A25" w:rsidRPr="000A7A25" w:rsidRDefault="000A7A25" w:rsidP="000A7A25">
      <w:pPr>
        <w:widowControl w:val="0"/>
        <w:spacing w:line="360" w:lineRule="auto"/>
        <w:jc w:val="both"/>
        <w:rPr>
          <w:sz w:val="24"/>
          <w:szCs w:val="24"/>
        </w:rPr>
      </w:pPr>
      <w:r w:rsidRPr="000A7A25">
        <w:rPr>
          <w:sz w:val="24"/>
          <w:szCs w:val="24"/>
        </w:rPr>
        <w:t xml:space="preserve">Беременные женщины, а также женщины детородного возраста должны избегать контакта с измельченными или утратившими целостность таблетками </w:t>
      </w:r>
      <w:r w:rsidR="00D65B97">
        <w:rPr>
          <w:sz w:val="24"/>
          <w:szCs w:val="24"/>
        </w:rPr>
        <w:t xml:space="preserve">препарата </w:t>
      </w:r>
      <w:proofErr w:type="spellStart"/>
      <w:r w:rsidR="00D65B97">
        <w:rPr>
          <w:sz w:val="24"/>
          <w:szCs w:val="24"/>
        </w:rPr>
        <w:t>Финаст</w:t>
      </w:r>
      <w:proofErr w:type="spellEnd"/>
      <w:r w:rsidR="00D65B97" w:rsidRPr="00D65B97">
        <w:rPr>
          <w:sz w:val="24"/>
          <w:szCs w:val="24"/>
          <w:vertAlign w:val="superscript"/>
        </w:rPr>
        <w:t>®</w:t>
      </w:r>
      <w:r w:rsidR="00D65B97" w:rsidRPr="00D65B97">
        <w:rPr>
          <w:sz w:val="24"/>
          <w:szCs w:val="24"/>
        </w:rPr>
        <w:t xml:space="preserve"> </w:t>
      </w:r>
      <w:r w:rsidRPr="000A7A25">
        <w:rPr>
          <w:sz w:val="24"/>
          <w:szCs w:val="24"/>
        </w:rPr>
        <w:t xml:space="preserve">из-за возможности абсорбции </w:t>
      </w:r>
      <w:proofErr w:type="spellStart"/>
      <w:r w:rsidRPr="000A7A25">
        <w:rPr>
          <w:sz w:val="24"/>
          <w:szCs w:val="24"/>
        </w:rPr>
        <w:t>финастерида</w:t>
      </w:r>
      <w:proofErr w:type="spellEnd"/>
      <w:r w:rsidRPr="000A7A25">
        <w:rPr>
          <w:sz w:val="24"/>
          <w:szCs w:val="24"/>
        </w:rPr>
        <w:t>, в связи с высоким риском тератогенного эффекта для плода мужского пола (</w:t>
      </w:r>
      <w:r w:rsidRPr="00D65B97">
        <w:rPr>
          <w:i/>
          <w:sz w:val="24"/>
          <w:szCs w:val="24"/>
        </w:rPr>
        <w:t>см. раздел «</w:t>
      </w:r>
      <w:r w:rsidR="00D65B97" w:rsidRPr="00D65B97">
        <w:rPr>
          <w:i/>
          <w:sz w:val="24"/>
          <w:szCs w:val="24"/>
        </w:rPr>
        <w:t xml:space="preserve">Применение при беременности и в период </w:t>
      </w:r>
      <w:r w:rsidR="00D65B97">
        <w:rPr>
          <w:i/>
          <w:sz w:val="24"/>
          <w:szCs w:val="24"/>
        </w:rPr>
        <w:t>грудного вскармливания</w:t>
      </w:r>
      <w:r w:rsidRPr="00D65B97">
        <w:rPr>
          <w:i/>
          <w:sz w:val="24"/>
          <w:szCs w:val="24"/>
        </w:rPr>
        <w:t>»</w:t>
      </w:r>
      <w:r w:rsidRPr="000A7A25">
        <w:rPr>
          <w:sz w:val="24"/>
          <w:szCs w:val="24"/>
        </w:rPr>
        <w:t xml:space="preserve">). </w:t>
      </w:r>
      <w:r w:rsidR="006B21B3">
        <w:rPr>
          <w:sz w:val="24"/>
          <w:szCs w:val="24"/>
        </w:rPr>
        <w:t xml:space="preserve"> </w:t>
      </w:r>
      <w:r w:rsidRPr="000A7A25">
        <w:rPr>
          <w:sz w:val="24"/>
          <w:szCs w:val="24"/>
        </w:rPr>
        <w:t>Таблетки</w:t>
      </w:r>
      <w:r w:rsidR="006B21B3">
        <w:rPr>
          <w:sz w:val="24"/>
          <w:szCs w:val="24"/>
        </w:rPr>
        <w:t xml:space="preserve"> </w:t>
      </w:r>
      <w:proofErr w:type="spellStart"/>
      <w:r w:rsidR="006B21B3">
        <w:rPr>
          <w:sz w:val="24"/>
          <w:szCs w:val="24"/>
        </w:rPr>
        <w:t>Финаст</w:t>
      </w:r>
      <w:proofErr w:type="spellEnd"/>
      <w:r w:rsidR="006B21B3" w:rsidRPr="00D65B97">
        <w:rPr>
          <w:sz w:val="24"/>
          <w:szCs w:val="24"/>
          <w:vertAlign w:val="superscript"/>
        </w:rPr>
        <w:t>®</w:t>
      </w:r>
      <w:r w:rsidRPr="000A7A25">
        <w:rPr>
          <w:sz w:val="24"/>
          <w:szCs w:val="24"/>
        </w:rPr>
        <w:t> покрыты пленочной оболочкой, что предотвращает контакт с активным действующим веществом при условии, что таблетки не измельчены и не утратили целостность.</w:t>
      </w:r>
    </w:p>
    <w:p w:rsidR="00DC405C" w:rsidRDefault="000A7A25" w:rsidP="000A7A25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741D4F">
        <w:rPr>
          <w:b/>
          <w:sz w:val="24"/>
          <w:szCs w:val="24"/>
        </w:rPr>
        <w:t>Влияние на способность управлять транспортными средствами</w:t>
      </w:r>
      <w:r w:rsidR="00741D4F" w:rsidRPr="00741D4F">
        <w:rPr>
          <w:b/>
          <w:sz w:val="24"/>
          <w:szCs w:val="24"/>
        </w:rPr>
        <w:t xml:space="preserve">, </w:t>
      </w:r>
      <w:r w:rsidRPr="00741D4F">
        <w:rPr>
          <w:b/>
          <w:sz w:val="24"/>
          <w:szCs w:val="24"/>
        </w:rPr>
        <w:t>механизмами</w:t>
      </w:r>
    </w:p>
    <w:p w:rsidR="00172ECB" w:rsidRDefault="000A7A25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0A7A25">
        <w:rPr>
          <w:sz w:val="24"/>
          <w:szCs w:val="24"/>
        </w:rPr>
        <w:t>О неблагоприятном влиянии препарата на способность управлять транспортными средствами и работать с механизмами не сообщалось.</w:t>
      </w:r>
    </w:p>
    <w:p w:rsidR="005E07FD" w:rsidRPr="00B751A1" w:rsidRDefault="0017348F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Форма выпуска</w:t>
      </w:r>
    </w:p>
    <w:p w:rsidR="00AF4D9E" w:rsidRPr="00B751A1" w:rsidRDefault="000752C4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sz w:val="24"/>
          <w:szCs w:val="24"/>
        </w:rPr>
        <w:t xml:space="preserve">Таблетки, покрытые </w:t>
      </w:r>
      <w:r w:rsidR="006746D7" w:rsidRPr="00B751A1">
        <w:rPr>
          <w:sz w:val="24"/>
          <w:szCs w:val="24"/>
        </w:rPr>
        <w:t xml:space="preserve">пленочной </w:t>
      </w:r>
      <w:r w:rsidRPr="00B751A1">
        <w:rPr>
          <w:sz w:val="24"/>
          <w:szCs w:val="24"/>
        </w:rPr>
        <w:t xml:space="preserve">оболочкой, 5 мг. </w:t>
      </w:r>
    </w:p>
    <w:p w:rsidR="00AF4D9E" w:rsidRPr="007147C3" w:rsidRDefault="00DF552E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7147C3">
        <w:rPr>
          <w:sz w:val="24"/>
          <w:szCs w:val="24"/>
        </w:rPr>
        <w:t xml:space="preserve">По 10 таблеток в </w:t>
      </w:r>
      <w:r w:rsidR="003B272A" w:rsidRPr="007147C3">
        <w:rPr>
          <w:sz w:val="24"/>
          <w:szCs w:val="24"/>
        </w:rPr>
        <w:t xml:space="preserve">алюминиевый стрип, </w:t>
      </w:r>
      <w:r w:rsidR="007147C3" w:rsidRPr="007147C3">
        <w:rPr>
          <w:sz w:val="24"/>
          <w:szCs w:val="24"/>
        </w:rPr>
        <w:t>л</w:t>
      </w:r>
      <w:r w:rsidR="003B272A" w:rsidRPr="007147C3">
        <w:rPr>
          <w:sz w:val="24"/>
          <w:szCs w:val="24"/>
        </w:rPr>
        <w:t>аминированный полиэтиленом</w:t>
      </w:r>
      <w:r w:rsidRPr="007147C3">
        <w:rPr>
          <w:sz w:val="24"/>
          <w:szCs w:val="24"/>
        </w:rPr>
        <w:t xml:space="preserve">. </w:t>
      </w:r>
    </w:p>
    <w:p w:rsidR="00DF552E" w:rsidRPr="00B751A1" w:rsidRDefault="00D0398B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7147C3">
        <w:rPr>
          <w:sz w:val="24"/>
          <w:szCs w:val="24"/>
        </w:rPr>
        <w:t>По 3</w:t>
      </w:r>
      <w:r w:rsidR="00DF552E" w:rsidRPr="007147C3">
        <w:rPr>
          <w:sz w:val="24"/>
          <w:szCs w:val="24"/>
        </w:rPr>
        <w:t xml:space="preserve"> </w:t>
      </w:r>
      <w:proofErr w:type="spellStart"/>
      <w:r w:rsidR="00DF552E" w:rsidRPr="007147C3">
        <w:rPr>
          <w:sz w:val="24"/>
          <w:szCs w:val="24"/>
        </w:rPr>
        <w:t>стрипа</w:t>
      </w:r>
      <w:proofErr w:type="spellEnd"/>
      <w:r w:rsidR="00DF552E" w:rsidRPr="007147C3">
        <w:rPr>
          <w:sz w:val="24"/>
          <w:szCs w:val="24"/>
        </w:rPr>
        <w:t xml:space="preserve"> вместе с инструкцией по применению упакованы в пачку</w:t>
      </w:r>
      <w:r w:rsidR="00FF0D6A" w:rsidRPr="007147C3">
        <w:rPr>
          <w:sz w:val="24"/>
          <w:szCs w:val="24"/>
        </w:rPr>
        <w:t xml:space="preserve"> картонную</w:t>
      </w:r>
      <w:r w:rsidR="00DF552E" w:rsidRPr="007147C3">
        <w:rPr>
          <w:sz w:val="24"/>
          <w:szCs w:val="24"/>
        </w:rPr>
        <w:t>.</w:t>
      </w:r>
    </w:p>
    <w:p w:rsidR="00264CD3" w:rsidRPr="00B751A1" w:rsidRDefault="00264CD3" w:rsidP="005473EC">
      <w:pPr>
        <w:keepNext/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У</w:t>
      </w:r>
      <w:r w:rsidR="0017348F" w:rsidRPr="00B751A1">
        <w:rPr>
          <w:b/>
          <w:sz w:val="24"/>
          <w:szCs w:val="24"/>
        </w:rPr>
        <w:t>словия хранения</w:t>
      </w:r>
    </w:p>
    <w:p w:rsidR="00CE76C0" w:rsidRDefault="00CE76C0" w:rsidP="00B751A1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температуре не выше 25 °С. </w:t>
      </w:r>
    </w:p>
    <w:p w:rsidR="007A17C7" w:rsidRPr="00B751A1" w:rsidRDefault="007A17C7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sz w:val="24"/>
          <w:szCs w:val="24"/>
        </w:rPr>
        <w:t>Хранить в недоступном для детей месте!</w:t>
      </w:r>
    </w:p>
    <w:p w:rsidR="00D926D6" w:rsidRPr="00B751A1" w:rsidRDefault="00D926D6" w:rsidP="00C77710">
      <w:pPr>
        <w:keepNext/>
        <w:widowControl w:val="0"/>
        <w:spacing w:line="360" w:lineRule="auto"/>
        <w:jc w:val="both"/>
        <w:rPr>
          <w:b/>
          <w:sz w:val="24"/>
          <w:szCs w:val="24"/>
        </w:rPr>
      </w:pPr>
      <w:r w:rsidRPr="00B751A1">
        <w:rPr>
          <w:b/>
          <w:sz w:val="24"/>
          <w:szCs w:val="24"/>
        </w:rPr>
        <w:t>Срок годности</w:t>
      </w:r>
    </w:p>
    <w:p w:rsidR="001A406C" w:rsidRPr="00B751A1" w:rsidRDefault="00BF3A39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bCs/>
          <w:iCs/>
          <w:sz w:val="24"/>
          <w:szCs w:val="24"/>
        </w:rPr>
        <w:t>2</w:t>
      </w:r>
      <w:r w:rsidR="00D926D6" w:rsidRPr="00B751A1">
        <w:rPr>
          <w:bCs/>
          <w:iCs/>
          <w:sz w:val="24"/>
          <w:szCs w:val="24"/>
        </w:rPr>
        <w:t xml:space="preserve"> года.</w:t>
      </w:r>
      <w:r w:rsidR="00D926D6" w:rsidRPr="00B751A1">
        <w:rPr>
          <w:sz w:val="24"/>
          <w:szCs w:val="24"/>
        </w:rPr>
        <w:t xml:space="preserve"> </w:t>
      </w:r>
    </w:p>
    <w:p w:rsidR="00D926D6" w:rsidRPr="00B751A1" w:rsidRDefault="00D926D6" w:rsidP="00B751A1">
      <w:pPr>
        <w:widowControl w:val="0"/>
        <w:spacing w:line="360" w:lineRule="auto"/>
        <w:jc w:val="both"/>
        <w:rPr>
          <w:sz w:val="24"/>
          <w:szCs w:val="24"/>
        </w:rPr>
      </w:pPr>
      <w:r w:rsidRPr="00B751A1">
        <w:rPr>
          <w:sz w:val="24"/>
          <w:szCs w:val="24"/>
        </w:rPr>
        <w:t>Не использовать после истечения срока годности, указанного на упаковке.</w:t>
      </w:r>
    </w:p>
    <w:p w:rsidR="00D926D6" w:rsidRPr="00B751A1" w:rsidRDefault="0063629B" w:rsidP="00B751A1">
      <w:pPr>
        <w:widowControl w:val="0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Условия отпуска</w:t>
      </w:r>
    </w:p>
    <w:p w:rsidR="00D926D6" w:rsidRPr="00B751A1" w:rsidRDefault="007B7C3E" w:rsidP="00681E96">
      <w:pPr>
        <w:widowControl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Отпускают п</w:t>
      </w:r>
      <w:r w:rsidR="00D926D6" w:rsidRPr="00B751A1">
        <w:rPr>
          <w:sz w:val="24"/>
          <w:szCs w:val="24"/>
        </w:rPr>
        <w:t>о рецепту.</w:t>
      </w:r>
    </w:p>
    <w:p w:rsidR="00681E96" w:rsidRPr="00681E96" w:rsidRDefault="00681E96" w:rsidP="00681E96">
      <w:pPr>
        <w:pStyle w:val="Style1"/>
        <w:widowControl/>
        <w:spacing w:line="276" w:lineRule="auto"/>
        <w:jc w:val="both"/>
        <w:rPr>
          <w:rStyle w:val="FontStyle15"/>
          <w:sz w:val="24"/>
          <w:szCs w:val="24"/>
        </w:rPr>
      </w:pPr>
      <w:r w:rsidRPr="00681E96">
        <w:rPr>
          <w:rStyle w:val="FontStyle15"/>
          <w:sz w:val="24"/>
          <w:szCs w:val="24"/>
        </w:rPr>
        <w:t>Производитель</w:t>
      </w:r>
    </w:p>
    <w:p w:rsidR="00681E96" w:rsidRPr="00681E96" w:rsidRDefault="00681E96" w:rsidP="00681E96">
      <w:pPr>
        <w:pStyle w:val="Style1"/>
        <w:widowControl/>
        <w:spacing w:line="276" w:lineRule="auto"/>
        <w:jc w:val="both"/>
        <w:rPr>
          <w:rStyle w:val="FontStyle15"/>
          <w:b w:val="0"/>
          <w:sz w:val="24"/>
          <w:szCs w:val="24"/>
        </w:rPr>
      </w:pPr>
      <w:r w:rsidRPr="00681E96">
        <w:rPr>
          <w:rStyle w:val="FontStyle15"/>
          <w:b w:val="0"/>
          <w:sz w:val="24"/>
          <w:szCs w:val="24"/>
        </w:rPr>
        <w:t xml:space="preserve">Д-р Редди’с Лабораторис </w:t>
      </w:r>
      <w:proofErr w:type="gramStart"/>
      <w:r w:rsidRPr="00681E96">
        <w:rPr>
          <w:rStyle w:val="FontStyle15"/>
          <w:b w:val="0"/>
          <w:sz w:val="24"/>
          <w:szCs w:val="24"/>
        </w:rPr>
        <w:t>Лтд.,</w:t>
      </w:r>
      <w:proofErr w:type="gramEnd"/>
      <w:r w:rsidRPr="00681E96">
        <w:rPr>
          <w:rStyle w:val="FontStyle15"/>
          <w:b w:val="0"/>
          <w:sz w:val="24"/>
          <w:szCs w:val="24"/>
        </w:rPr>
        <w:t xml:space="preserve"> Индия</w:t>
      </w:r>
    </w:p>
    <w:p w:rsidR="00681E96" w:rsidRPr="00681E96" w:rsidRDefault="00681E96" w:rsidP="00681E96">
      <w:pPr>
        <w:pStyle w:val="Style1"/>
        <w:widowControl/>
        <w:spacing w:line="276" w:lineRule="auto"/>
        <w:jc w:val="both"/>
        <w:rPr>
          <w:rStyle w:val="FontStyle15"/>
          <w:b w:val="0"/>
          <w:sz w:val="24"/>
          <w:szCs w:val="24"/>
          <w:lang w:val="en-US"/>
        </w:rPr>
      </w:pPr>
      <w:r w:rsidRPr="00681E96">
        <w:rPr>
          <w:rStyle w:val="FontStyle15"/>
          <w:b w:val="0"/>
          <w:sz w:val="24"/>
          <w:szCs w:val="24"/>
          <w:lang w:val="en-US"/>
        </w:rPr>
        <w:t>Dr. Reddy’s Laboratories Ltd., India</w:t>
      </w:r>
    </w:p>
    <w:p w:rsidR="00681E96" w:rsidRPr="00681E96" w:rsidRDefault="00681E96" w:rsidP="00681E96">
      <w:pPr>
        <w:pStyle w:val="Style1"/>
        <w:widowControl/>
        <w:spacing w:line="276" w:lineRule="auto"/>
        <w:jc w:val="both"/>
        <w:rPr>
          <w:rStyle w:val="FontStyle15"/>
          <w:sz w:val="24"/>
          <w:szCs w:val="24"/>
          <w:lang w:val="en-US"/>
        </w:rPr>
      </w:pPr>
    </w:p>
    <w:p w:rsidR="00681E96" w:rsidRPr="00681E96" w:rsidRDefault="00681E96" w:rsidP="00681E96">
      <w:pPr>
        <w:pStyle w:val="Style1"/>
        <w:widowControl/>
        <w:spacing w:line="276" w:lineRule="auto"/>
        <w:jc w:val="both"/>
        <w:rPr>
          <w:rStyle w:val="FontStyle15"/>
          <w:sz w:val="24"/>
          <w:szCs w:val="24"/>
          <w:lang w:val="en-US"/>
        </w:rPr>
      </w:pPr>
      <w:r w:rsidRPr="00681E96">
        <w:rPr>
          <w:rStyle w:val="FontStyle15"/>
          <w:sz w:val="24"/>
          <w:szCs w:val="24"/>
        </w:rPr>
        <w:t>Адрес</w:t>
      </w:r>
      <w:r w:rsidRPr="00681E96">
        <w:rPr>
          <w:rStyle w:val="FontStyle15"/>
          <w:sz w:val="24"/>
          <w:szCs w:val="24"/>
          <w:lang w:val="en-US"/>
        </w:rPr>
        <w:t xml:space="preserve"> </w:t>
      </w:r>
      <w:r w:rsidRPr="00681E96">
        <w:rPr>
          <w:rStyle w:val="FontStyle15"/>
          <w:sz w:val="24"/>
          <w:szCs w:val="24"/>
        </w:rPr>
        <w:t>места</w:t>
      </w:r>
      <w:r w:rsidRPr="00681E96">
        <w:rPr>
          <w:rStyle w:val="FontStyle15"/>
          <w:sz w:val="24"/>
          <w:szCs w:val="24"/>
          <w:lang w:val="en-US"/>
        </w:rPr>
        <w:t xml:space="preserve"> </w:t>
      </w:r>
      <w:r w:rsidRPr="00681E96">
        <w:rPr>
          <w:rStyle w:val="FontStyle15"/>
          <w:sz w:val="24"/>
          <w:szCs w:val="24"/>
        </w:rPr>
        <w:t>производства</w:t>
      </w:r>
    </w:p>
    <w:p w:rsidR="00681E96" w:rsidRPr="00681E96" w:rsidRDefault="00681E96" w:rsidP="00681E96">
      <w:pPr>
        <w:pStyle w:val="Style1"/>
        <w:widowControl/>
        <w:spacing w:line="276" w:lineRule="auto"/>
        <w:jc w:val="both"/>
        <w:rPr>
          <w:rStyle w:val="FontStyle15"/>
          <w:sz w:val="24"/>
          <w:szCs w:val="24"/>
          <w:lang w:val="en-US"/>
        </w:rPr>
      </w:pPr>
      <w:r w:rsidRPr="00681E96">
        <w:rPr>
          <w:rStyle w:val="FontStyle16"/>
          <w:sz w:val="24"/>
          <w:szCs w:val="24"/>
          <w:lang w:val="en-US"/>
        </w:rPr>
        <w:t>Unit – I, Plot Nos., 137, 138</w:t>
      </w:r>
      <w:r w:rsidRPr="00681E96">
        <w:rPr>
          <w:rStyle w:val="FontStyle16"/>
          <w:color w:val="FF0000"/>
          <w:sz w:val="24"/>
          <w:szCs w:val="24"/>
          <w:lang w:val="en-US"/>
        </w:rPr>
        <w:t xml:space="preserve"> </w:t>
      </w:r>
      <w:r w:rsidRPr="00681E96">
        <w:rPr>
          <w:rStyle w:val="FontStyle16"/>
          <w:sz w:val="24"/>
          <w:szCs w:val="24"/>
          <w:lang w:val="en-US"/>
        </w:rPr>
        <w:t>&amp; 146, Sri Venkateswara Co-Operative Industrial Estate, Bollaram(V), Jinnaram(M), Sangareddy(Dist.), Telangana, India.</w:t>
      </w:r>
    </w:p>
    <w:p w:rsidR="00681E96" w:rsidRPr="00681E96" w:rsidRDefault="00681E96" w:rsidP="00681E96">
      <w:pPr>
        <w:pStyle w:val="Style1"/>
        <w:widowControl/>
        <w:spacing w:line="276" w:lineRule="auto"/>
        <w:jc w:val="both"/>
        <w:rPr>
          <w:rStyle w:val="FontStyle15"/>
          <w:b w:val="0"/>
          <w:sz w:val="24"/>
          <w:szCs w:val="24"/>
          <w:lang w:val="en-US"/>
        </w:rPr>
      </w:pPr>
    </w:p>
    <w:p w:rsidR="00681E96" w:rsidRPr="00681E96" w:rsidRDefault="00681E96" w:rsidP="00681E96">
      <w:pPr>
        <w:pStyle w:val="Style1"/>
        <w:widowControl/>
        <w:spacing w:line="276" w:lineRule="auto"/>
        <w:jc w:val="both"/>
        <w:rPr>
          <w:rStyle w:val="FontStyle15"/>
          <w:sz w:val="24"/>
          <w:szCs w:val="24"/>
        </w:rPr>
      </w:pPr>
      <w:r w:rsidRPr="00681E96">
        <w:rPr>
          <w:rStyle w:val="FontStyle15"/>
          <w:sz w:val="24"/>
          <w:szCs w:val="24"/>
        </w:rPr>
        <w:t>Упаковщик* / Выпускающий контроль качества*</w:t>
      </w:r>
    </w:p>
    <w:p w:rsidR="00681E96" w:rsidRPr="00681E96" w:rsidRDefault="00681E96" w:rsidP="00681E96">
      <w:pPr>
        <w:keepNext/>
        <w:spacing w:line="276" w:lineRule="auto"/>
        <w:jc w:val="both"/>
        <w:rPr>
          <w:rStyle w:val="FontStyle15"/>
          <w:b w:val="0"/>
          <w:sz w:val="24"/>
          <w:szCs w:val="24"/>
        </w:rPr>
      </w:pPr>
      <w:r w:rsidRPr="00681E96">
        <w:rPr>
          <w:rStyle w:val="FontStyle15"/>
          <w:b w:val="0"/>
          <w:sz w:val="24"/>
          <w:szCs w:val="24"/>
        </w:rPr>
        <w:t>ООО «МАКИЗ-ФАРМА», г. Москва, Автомобильный проезд, д. 6, стр. 4, стр. 6, стр. 8.</w:t>
      </w:r>
    </w:p>
    <w:p w:rsidR="006A33DE" w:rsidRPr="005473EC" w:rsidRDefault="006A33DE" w:rsidP="00681E96">
      <w:pPr>
        <w:widowControl w:val="0"/>
        <w:spacing w:line="276" w:lineRule="auto"/>
        <w:jc w:val="both"/>
        <w:rPr>
          <w:sz w:val="24"/>
          <w:szCs w:val="24"/>
        </w:rPr>
      </w:pPr>
    </w:p>
    <w:p w:rsidR="00CB2412" w:rsidRPr="00CB2412" w:rsidRDefault="00CB2412" w:rsidP="00CB2412">
      <w:pPr>
        <w:widowControl w:val="0"/>
        <w:spacing w:line="360" w:lineRule="auto"/>
        <w:jc w:val="both"/>
        <w:rPr>
          <w:i/>
          <w:sz w:val="24"/>
          <w:szCs w:val="24"/>
        </w:rPr>
      </w:pPr>
      <w:r w:rsidRPr="00CB2412">
        <w:rPr>
          <w:i/>
          <w:sz w:val="24"/>
          <w:szCs w:val="24"/>
        </w:rPr>
        <w:t>Организация, уполномоченная принимать сведения о рекламациях, нежелательных лекарственных реакциях и предоставлять потребителям дополнительные данные о препарате:</w:t>
      </w:r>
    </w:p>
    <w:p w:rsidR="00CB2412" w:rsidRPr="00CB2412" w:rsidRDefault="00CB2412" w:rsidP="00CB2412">
      <w:pPr>
        <w:widowControl w:val="0"/>
        <w:spacing w:line="360" w:lineRule="auto"/>
        <w:jc w:val="both"/>
        <w:rPr>
          <w:sz w:val="24"/>
          <w:szCs w:val="24"/>
        </w:rPr>
      </w:pPr>
      <w:r w:rsidRPr="00CB2412">
        <w:rPr>
          <w:sz w:val="24"/>
          <w:szCs w:val="24"/>
        </w:rPr>
        <w:t>Предс</w:t>
      </w:r>
      <w:r>
        <w:rPr>
          <w:sz w:val="24"/>
          <w:szCs w:val="24"/>
        </w:rPr>
        <w:t>тавительство фирмы</w:t>
      </w:r>
      <w:r w:rsidRPr="00CB2412">
        <w:rPr>
          <w:sz w:val="24"/>
          <w:szCs w:val="24"/>
        </w:rPr>
        <w:t xml:space="preserve"> </w:t>
      </w:r>
      <w:r w:rsidR="006F5518">
        <w:rPr>
          <w:sz w:val="24"/>
          <w:szCs w:val="24"/>
        </w:rPr>
        <w:t>«Д-р Редди’с Лабораторис Лтд.»,</w:t>
      </w:r>
    </w:p>
    <w:p w:rsidR="00CB2412" w:rsidRPr="00CB2412" w:rsidRDefault="00CB2412" w:rsidP="00CB2412">
      <w:pPr>
        <w:widowControl w:val="0"/>
        <w:spacing w:line="360" w:lineRule="auto"/>
        <w:jc w:val="both"/>
        <w:rPr>
          <w:sz w:val="24"/>
          <w:szCs w:val="24"/>
        </w:rPr>
      </w:pPr>
      <w:r w:rsidRPr="00CB2412">
        <w:rPr>
          <w:sz w:val="24"/>
          <w:szCs w:val="24"/>
        </w:rPr>
        <w:t>115035, г.</w:t>
      </w:r>
      <w:r>
        <w:rPr>
          <w:sz w:val="24"/>
          <w:szCs w:val="24"/>
        </w:rPr>
        <w:t xml:space="preserve"> Москва, Овчинниковская наб.,</w:t>
      </w:r>
      <w:r w:rsidRPr="00CB2412">
        <w:rPr>
          <w:sz w:val="24"/>
          <w:szCs w:val="24"/>
        </w:rPr>
        <w:t xml:space="preserve"> д. 20, стр.</w:t>
      </w:r>
      <w:r w:rsidR="003E4462">
        <w:rPr>
          <w:sz w:val="24"/>
          <w:szCs w:val="24"/>
        </w:rPr>
        <w:t> </w:t>
      </w:r>
      <w:r w:rsidRPr="00CB2412">
        <w:rPr>
          <w:sz w:val="24"/>
          <w:szCs w:val="24"/>
        </w:rPr>
        <w:t>1</w:t>
      </w:r>
    </w:p>
    <w:p w:rsidR="00CB2412" w:rsidRPr="00CB2412" w:rsidRDefault="00CB2412" w:rsidP="00CB2412">
      <w:pPr>
        <w:widowControl w:val="0"/>
        <w:spacing w:line="360" w:lineRule="auto"/>
        <w:jc w:val="both"/>
        <w:rPr>
          <w:sz w:val="24"/>
          <w:szCs w:val="24"/>
        </w:rPr>
      </w:pPr>
      <w:r w:rsidRPr="00CB2412">
        <w:rPr>
          <w:sz w:val="24"/>
          <w:szCs w:val="24"/>
        </w:rPr>
        <w:t>тел: +7 (495) 795-39-39</w:t>
      </w:r>
    </w:p>
    <w:p w:rsidR="00C77710" w:rsidRDefault="00CB2412" w:rsidP="006A33DE">
      <w:pPr>
        <w:widowControl w:val="0"/>
        <w:spacing w:line="360" w:lineRule="auto"/>
        <w:jc w:val="both"/>
        <w:rPr>
          <w:sz w:val="24"/>
          <w:szCs w:val="24"/>
        </w:rPr>
      </w:pPr>
      <w:r w:rsidRPr="00CB2412">
        <w:rPr>
          <w:sz w:val="24"/>
          <w:szCs w:val="24"/>
        </w:rPr>
        <w:t>факс: +7 (495) 795-39-08</w:t>
      </w:r>
    </w:p>
    <w:p w:rsidR="006A33DE" w:rsidRPr="005473EC" w:rsidRDefault="006A33DE" w:rsidP="006A33DE">
      <w:pPr>
        <w:widowControl w:val="0"/>
        <w:spacing w:line="360" w:lineRule="auto"/>
        <w:jc w:val="both"/>
        <w:rPr>
          <w:sz w:val="24"/>
          <w:szCs w:val="24"/>
        </w:rPr>
      </w:pPr>
    </w:p>
    <w:p w:rsidR="00F70314" w:rsidRPr="00F70314" w:rsidRDefault="00F70314" w:rsidP="00F70314">
      <w:pPr>
        <w:widowControl w:val="0"/>
        <w:spacing w:line="360" w:lineRule="auto"/>
        <w:jc w:val="both"/>
        <w:rPr>
          <w:i/>
          <w:sz w:val="24"/>
          <w:szCs w:val="24"/>
        </w:rPr>
      </w:pPr>
      <w:r w:rsidRPr="00F70314">
        <w:rPr>
          <w:i/>
          <w:sz w:val="24"/>
          <w:szCs w:val="24"/>
        </w:rPr>
        <w:t>В случае упаковки на ООО «МАКИЗ-ФАРМА» сведения о рекламациях и нежелательных лекарственных реакциях направлять по адресу:</w:t>
      </w:r>
    </w:p>
    <w:p w:rsidR="00F96926" w:rsidRDefault="006F5518" w:rsidP="00F70314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ООО «МАКИЗ-ФАРМА»,</w:t>
      </w:r>
    </w:p>
    <w:p w:rsidR="00F70314" w:rsidRPr="00F70314" w:rsidRDefault="00F70314" w:rsidP="00F70314">
      <w:pPr>
        <w:widowControl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109029, </w:t>
      </w:r>
      <w:r w:rsidRPr="00F70314">
        <w:rPr>
          <w:sz w:val="24"/>
          <w:szCs w:val="24"/>
        </w:rPr>
        <w:t>г. Москва, Автомобильный проезд, д. 6, стр. 5</w:t>
      </w:r>
    </w:p>
    <w:p w:rsidR="00F70314" w:rsidRPr="00F70314" w:rsidRDefault="00F70314" w:rsidP="00F70314">
      <w:pPr>
        <w:widowControl w:val="0"/>
        <w:spacing w:line="360" w:lineRule="auto"/>
        <w:jc w:val="both"/>
        <w:rPr>
          <w:sz w:val="24"/>
          <w:szCs w:val="24"/>
        </w:rPr>
      </w:pPr>
      <w:r w:rsidRPr="00F70314">
        <w:rPr>
          <w:sz w:val="24"/>
          <w:szCs w:val="24"/>
        </w:rPr>
        <w:t>тел.: +7 (495) 974-70-00</w:t>
      </w:r>
    </w:p>
    <w:p w:rsidR="00F70314" w:rsidRPr="000A7A25" w:rsidRDefault="00F70314" w:rsidP="00F70314">
      <w:pPr>
        <w:widowControl w:val="0"/>
        <w:spacing w:line="360" w:lineRule="auto"/>
        <w:jc w:val="both"/>
        <w:rPr>
          <w:sz w:val="24"/>
          <w:szCs w:val="24"/>
        </w:rPr>
      </w:pPr>
      <w:r w:rsidRPr="00F70314">
        <w:rPr>
          <w:sz w:val="24"/>
          <w:szCs w:val="24"/>
        </w:rPr>
        <w:t>факс</w:t>
      </w:r>
      <w:r w:rsidRPr="000A7A25">
        <w:rPr>
          <w:sz w:val="24"/>
          <w:szCs w:val="24"/>
        </w:rPr>
        <w:t>: +7 (495) 974-11-10</w:t>
      </w:r>
    </w:p>
    <w:p w:rsidR="00F70314" w:rsidRPr="000A7A25" w:rsidRDefault="00F70314" w:rsidP="00F70314">
      <w:pPr>
        <w:widowControl w:val="0"/>
        <w:spacing w:line="360" w:lineRule="auto"/>
        <w:jc w:val="both"/>
        <w:rPr>
          <w:sz w:val="24"/>
          <w:szCs w:val="24"/>
        </w:rPr>
      </w:pPr>
      <w:r w:rsidRPr="00136756">
        <w:rPr>
          <w:sz w:val="24"/>
          <w:szCs w:val="24"/>
          <w:lang w:val="fr-FR"/>
        </w:rPr>
        <w:t>e</w:t>
      </w:r>
      <w:r w:rsidRPr="000A7A25">
        <w:rPr>
          <w:sz w:val="24"/>
          <w:szCs w:val="24"/>
        </w:rPr>
        <w:t>-</w:t>
      </w:r>
      <w:r w:rsidRPr="00136756">
        <w:rPr>
          <w:sz w:val="24"/>
          <w:szCs w:val="24"/>
          <w:lang w:val="fr-FR"/>
        </w:rPr>
        <w:t>mail</w:t>
      </w:r>
      <w:r w:rsidRPr="000A7A25">
        <w:rPr>
          <w:sz w:val="24"/>
          <w:szCs w:val="24"/>
        </w:rPr>
        <w:t xml:space="preserve">: </w:t>
      </w:r>
      <w:r w:rsidRPr="00136756">
        <w:rPr>
          <w:sz w:val="24"/>
          <w:szCs w:val="24"/>
          <w:lang w:val="fr-FR"/>
        </w:rPr>
        <w:t>mail</w:t>
      </w:r>
      <w:r w:rsidRPr="000A7A25">
        <w:rPr>
          <w:sz w:val="24"/>
          <w:szCs w:val="24"/>
        </w:rPr>
        <w:t>@</w:t>
      </w:r>
      <w:r w:rsidRPr="00136756">
        <w:rPr>
          <w:sz w:val="24"/>
          <w:szCs w:val="24"/>
          <w:lang w:val="fr-FR"/>
        </w:rPr>
        <w:t>makizpharma</w:t>
      </w:r>
      <w:r w:rsidRPr="000A7A25">
        <w:rPr>
          <w:sz w:val="24"/>
          <w:szCs w:val="24"/>
        </w:rPr>
        <w:t>.</w:t>
      </w:r>
      <w:r w:rsidRPr="00136756">
        <w:rPr>
          <w:sz w:val="24"/>
          <w:szCs w:val="24"/>
          <w:lang w:val="fr-FR"/>
        </w:rPr>
        <w:t>ru</w:t>
      </w:r>
    </w:p>
    <w:p w:rsidR="00F70314" w:rsidRPr="000A7A25" w:rsidRDefault="00F70314" w:rsidP="00F70314">
      <w:pPr>
        <w:widowControl w:val="0"/>
        <w:spacing w:line="360" w:lineRule="auto"/>
        <w:jc w:val="both"/>
        <w:rPr>
          <w:sz w:val="24"/>
          <w:szCs w:val="24"/>
        </w:rPr>
      </w:pPr>
    </w:p>
    <w:p w:rsidR="00F70314" w:rsidRPr="00D1482C" w:rsidRDefault="00F70314" w:rsidP="00F70314">
      <w:pPr>
        <w:widowControl w:val="0"/>
        <w:spacing w:line="360" w:lineRule="auto"/>
        <w:jc w:val="both"/>
      </w:pPr>
      <w:r w:rsidRPr="00D1482C">
        <w:t>*При упаковке препарата в России.</w:t>
      </w:r>
    </w:p>
    <w:p w:rsidR="005473EC" w:rsidRDefault="005473EC" w:rsidP="00B751A1">
      <w:pPr>
        <w:widowControl w:val="0"/>
        <w:spacing w:line="360" w:lineRule="auto"/>
        <w:jc w:val="both"/>
        <w:rPr>
          <w:sz w:val="24"/>
          <w:szCs w:val="24"/>
        </w:rPr>
      </w:pPr>
    </w:p>
    <w:p w:rsidR="006A33DE" w:rsidRDefault="006A33DE" w:rsidP="00B751A1">
      <w:pPr>
        <w:widowControl w:val="0"/>
        <w:spacing w:line="360" w:lineRule="auto"/>
        <w:jc w:val="both"/>
        <w:rPr>
          <w:sz w:val="24"/>
          <w:szCs w:val="24"/>
        </w:rPr>
      </w:pPr>
    </w:p>
    <w:p w:rsidR="00164C99" w:rsidRPr="00164C99" w:rsidRDefault="00164C99" w:rsidP="00B751A1">
      <w:pPr>
        <w:widowControl w:val="0"/>
        <w:spacing w:line="360" w:lineRule="auto"/>
        <w:jc w:val="both"/>
        <w:rPr>
          <w:sz w:val="24"/>
          <w:szCs w:val="24"/>
        </w:rPr>
      </w:pPr>
    </w:p>
    <w:sectPr w:rsidR="00164C99" w:rsidRPr="00164C99" w:rsidSect="00F03C3F">
      <w:footerReference w:type="default" r:id="rId7"/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B0D" w:rsidRDefault="00915B0D">
      <w:r>
        <w:separator/>
      </w:r>
    </w:p>
  </w:endnote>
  <w:endnote w:type="continuationSeparator" w:id="0">
    <w:p w:rsidR="00915B0D" w:rsidRDefault="00915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1940329"/>
      <w:docPartObj>
        <w:docPartGallery w:val="Page Numbers (Bottom of Page)"/>
        <w:docPartUnique/>
      </w:docPartObj>
    </w:sdtPr>
    <w:sdtEndPr/>
    <w:sdtContent>
      <w:p w:rsidR="005473EC" w:rsidRDefault="005473E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1CA1">
          <w:rPr>
            <w:noProof/>
          </w:rPr>
          <w:t>11</w:t>
        </w:r>
        <w:r>
          <w:fldChar w:fldCharType="end"/>
        </w:r>
      </w:p>
    </w:sdtContent>
  </w:sdt>
  <w:p w:rsidR="002C287F" w:rsidRDefault="002C287F">
    <w:pPr>
      <w:pStyle w:val="1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B0D" w:rsidRDefault="00915B0D">
      <w:r>
        <w:separator/>
      </w:r>
    </w:p>
  </w:footnote>
  <w:footnote w:type="continuationSeparator" w:id="0">
    <w:p w:rsidR="00915B0D" w:rsidRDefault="00915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A7A260A"/>
    <w:lvl w:ilvl="0">
      <w:start w:val="1"/>
      <w:numFmt w:val="decimal"/>
      <w:pStyle w:val="51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4A0B252"/>
    <w:lvl w:ilvl="0">
      <w:start w:val="1"/>
      <w:numFmt w:val="decimal"/>
      <w:pStyle w:val="41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CE272"/>
    <w:lvl w:ilvl="0">
      <w:start w:val="1"/>
      <w:numFmt w:val="decimal"/>
      <w:pStyle w:val="31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F4CAABC"/>
    <w:lvl w:ilvl="0">
      <w:start w:val="1"/>
      <w:numFmt w:val="decimal"/>
      <w:pStyle w:val="21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B8EE848"/>
    <w:lvl w:ilvl="0">
      <w:start w:val="1"/>
      <w:numFmt w:val="bullet"/>
      <w:pStyle w:val="51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6BD84"/>
    <w:lvl w:ilvl="0">
      <w:start w:val="1"/>
      <w:numFmt w:val="bullet"/>
      <w:pStyle w:val="41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5A58A2"/>
    <w:lvl w:ilvl="0">
      <w:start w:val="1"/>
      <w:numFmt w:val="bullet"/>
      <w:pStyle w:val="31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B9CE256"/>
    <w:lvl w:ilvl="0">
      <w:start w:val="1"/>
      <w:numFmt w:val="bullet"/>
      <w:pStyle w:val="21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50423C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B6AAC6"/>
    <w:lvl w:ilvl="0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113A21"/>
    <w:multiLevelType w:val="singleLevel"/>
    <w:tmpl w:val="8B305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2717B5B"/>
    <w:multiLevelType w:val="singleLevel"/>
    <w:tmpl w:val="8B305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4C2712A"/>
    <w:multiLevelType w:val="hybridMultilevel"/>
    <w:tmpl w:val="4012428A"/>
    <w:lvl w:ilvl="0" w:tplc="23524C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A62A8"/>
    <w:multiLevelType w:val="singleLevel"/>
    <w:tmpl w:val="8B305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E16225F"/>
    <w:multiLevelType w:val="singleLevel"/>
    <w:tmpl w:val="8B305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2C70BF5"/>
    <w:multiLevelType w:val="singleLevel"/>
    <w:tmpl w:val="8B305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53465AC8"/>
    <w:multiLevelType w:val="singleLevel"/>
    <w:tmpl w:val="8B305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FB30F3D"/>
    <w:multiLevelType w:val="multilevel"/>
    <w:tmpl w:val="B3C87D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7853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75A801A2"/>
    <w:multiLevelType w:val="singleLevel"/>
    <w:tmpl w:val="8B305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7E3B57"/>
    <w:multiLevelType w:val="singleLevel"/>
    <w:tmpl w:val="8B3054B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8"/>
  </w:num>
  <w:num w:numId="13">
    <w:abstractNumId w:val="13"/>
  </w:num>
  <w:num w:numId="14">
    <w:abstractNumId w:val="11"/>
  </w:num>
  <w:num w:numId="15">
    <w:abstractNumId w:val="10"/>
  </w:num>
  <w:num w:numId="16">
    <w:abstractNumId w:val="16"/>
  </w:num>
  <w:num w:numId="17">
    <w:abstractNumId w:val="19"/>
  </w:num>
  <w:num w:numId="18">
    <w:abstractNumId w:val="15"/>
  </w:num>
  <w:num w:numId="19">
    <w:abstractNumId w:val="20"/>
  </w:num>
  <w:num w:numId="20">
    <w:abstractNumId w:val="1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D3"/>
    <w:rsid w:val="000033EB"/>
    <w:rsid w:val="000242EF"/>
    <w:rsid w:val="000244DC"/>
    <w:rsid w:val="00024A32"/>
    <w:rsid w:val="00027FD9"/>
    <w:rsid w:val="00032AA6"/>
    <w:rsid w:val="00035672"/>
    <w:rsid w:val="00035E67"/>
    <w:rsid w:val="00040FAF"/>
    <w:rsid w:val="00041A53"/>
    <w:rsid w:val="00043841"/>
    <w:rsid w:val="00045988"/>
    <w:rsid w:val="00051F04"/>
    <w:rsid w:val="00054A93"/>
    <w:rsid w:val="00055946"/>
    <w:rsid w:val="00062463"/>
    <w:rsid w:val="00062E0E"/>
    <w:rsid w:val="00063B5C"/>
    <w:rsid w:val="00070ED3"/>
    <w:rsid w:val="0007166C"/>
    <w:rsid w:val="00072E1D"/>
    <w:rsid w:val="000752C4"/>
    <w:rsid w:val="0007700D"/>
    <w:rsid w:val="000806D3"/>
    <w:rsid w:val="00084AB0"/>
    <w:rsid w:val="0008505C"/>
    <w:rsid w:val="00087CDC"/>
    <w:rsid w:val="00087CFD"/>
    <w:rsid w:val="00091764"/>
    <w:rsid w:val="000A09A9"/>
    <w:rsid w:val="000A7A25"/>
    <w:rsid w:val="000A7C17"/>
    <w:rsid w:val="000B2A57"/>
    <w:rsid w:val="000C02E0"/>
    <w:rsid w:val="000C3F7E"/>
    <w:rsid w:val="000C3F8F"/>
    <w:rsid w:val="000E033A"/>
    <w:rsid w:val="001041CB"/>
    <w:rsid w:val="00104CA7"/>
    <w:rsid w:val="0010546D"/>
    <w:rsid w:val="0011157C"/>
    <w:rsid w:val="00112BF2"/>
    <w:rsid w:val="00112DE2"/>
    <w:rsid w:val="00114857"/>
    <w:rsid w:val="001179A6"/>
    <w:rsid w:val="001311D2"/>
    <w:rsid w:val="00136756"/>
    <w:rsid w:val="001379DA"/>
    <w:rsid w:val="00144650"/>
    <w:rsid w:val="00145F0B"/>
    <w:rsid w:val="00150F54"/>
    <w:rsid w:val="001511E8"/>
    <w:rsid w:val="001547D8"/>
    <w:rsid w:val="001562C6"/>
    <w:rsid w:val="00161C78"/>
    <w:rsid w:val="00162D74"/>
    <w:rsid w:val="00164C99"/>
    <w:rsid w:val="0016550F"/>
    <w:rsid w:val="00165887"/>
    <w:rsid w:val="00171CB6"/>
    <w:rsid w:val="00172ECB"/>
    <w:rsid w:val="0017348F"/>
    <w:rsid w:val="00174192"/>
    <w:rsid w:val="00174DE4"/>
    <w:rsid w:val="001766F0"/>
    <w:rsid w:val="00185333"/>
    <w:rsid w:val="00190BFF"/>
    <w:rsid w:val="0019325B"/>
    <w:rsid w:val="001938C6"/>
    <w:rsid w:val="00194520"/>
    <w:rsid w:val="00196A5A"/>
    <w:rsid w:val="001A03A8"/>
    <w:rsid w:val="001A2EC7"/>
    <w:rsid w:val="001A3F89"/>
    <w:rsid w:val="001A406C"/>
    <w:rsid w:val="001A551C"/>
    <w:rsid w:val="001A68F3"/>
    <w:rsid w:val="001B3EB6"/>
    <w:rsid w:val="001B7B65"/>
    <w:rsid w:val="001C0A3A"/>
    <w:rsid w:val="001C4954"/>
    <w:rsid w:val="001C59E7"/>
    <w:rsid w:val="001C6797"/>
    <w:rsid w:val="001D0E2E"/>
    <w:rsid w:val="001D0F84"/>
    <w:rsid w:val="001D304C"/>
    <w:rsid w:val="001D607D"/>
    <w:rsid w:val="001D6FA0"/>
    <w:rsid w:val="001E2F8A"/>
    <w:rsid w:val="001E71DB"/>
    <w:rsid w:val="001F1152"/>
    <w:rsid w:val="001F202B"/>
    <w:rsid w:val="0020799F"/>
    <w:rsid w:val="002213D2"/>
    <w:rsid w:val="00222DF4"/>
    <w:rsid w:val="00222FB4"/>
    <w:rsid w:val="002237AB"/>
    <w:rsid w:val="002270D2"/>
    <w:rsid w:val="00232A19"/>
    <w:rsid w:val="00234E29"/>
    <w:rsid w:val="00236839"/>
    <w:rsid w:val="00237EE9"/>
    <w:rsid w:val="00240316"/>
    <w:rsid w:val="002537BF"/>
    <w:rsid w:val="00256736"/>
    <w:rsid w:val="00257DD6"/>
    <w:rsid w:val="00264CD3"/>
    <w:rsid w:val="00281FDF"/>
    <w:rsid w:val="00284B9A"/>
    <w:rsid w:val="00295CC2"/>
    <w:rsid w:val="002A510A"/>
    <w:rsid w:val="002B3E8E"/>
    <w:rsid w:val="002B46DB"/>
    <w:rsid w:val="002C261B"/>
    <w:rsid w:val="002C287F"/>
    <w:rsid w:val="002D0459"/>
    <w:rsid w:val="002D15DB"/>
    <w:rsid w:val="002E34AE"/>
    <w:rsid w:val="002F4829"/>
    <w:rsid w:val="002F5301"/>
    <w:rsid w:val="00300317"/>
    <w:rsid w:val="00304951"/>
    <w:rsid w:val="00306826"/>
    <w:rsid w:val="00310CCE"/>
    <w:rsid w:val="00312020"/>
    <w:rsid w:val="0032045C"/>
    <w:rsid w:val="003260E2"/>
    <w:rsid w:val="00330FF3"/>
    <w:rsid w:val="00337C59"/>
    <w:rsid w:val="00340530"/>
    <w:rsid w:val="0034092E"/>
    <w:rsid w:val="00345DEE"/>
    <w:rsid w:val="003512F9"/>
    <w:rsid w:val="00355B41"/>
    <w:rsid w:val="00356F47"/>
    <w:rsid w:val="00362946"/>
    <w:rsid w:val="00367872"/>
    <w:rsid w:val="00371D79"/>
    <w:rsid w:val="0037228A"/>
    <w:rsid w:val="00373702"/>
    <w:rsid w:val="003758AA"/>
    <w:rsid w:val="00377C7E"/>
    <w:rsid w:val="00385BE9"/>
    <w:rsid w:val="003862B7"/>
    <w:rsid w:val="00391AD6"/>
    <w:rsid w:val="003A1E0E"/>
    <w:rsid w:val="003B21C1"/>
    <w:rsid w:val="003B272A"/>
    <w:rsid w:val="003B5B45"/>
    <w:rsid w:val="003C1C47"/>
    <w:rsid w:val="003C4F99"/>
    <w:rsid w:val="003E1F4D"/>
    <w:rsid w:val="003E3315"/>
    <w:rsid w:val="003E4462"/>
    <w:rsid w:val="003E5617"/>
    <w:rsid w:val="003E5991"/>
    <w:rsid w:val="003E66F6"/>
    <w:rsid w:val="003F7A86"/>
    <w:rsid w:val="004001C0"/>
    <w:rsid w:val="00402130"/>
    <w:rsid w:val="00404CAA"/>
    <w:rsid w:val="00412DF0"/>
    <w:rsid w:val="00412F29"/>
    <w:rsid w:val="00413000"/>
    <w:rsid w:val="0042567B"/>
    <w:rsid w:val="00432A72"/>
    <w:rsid w:val="00432CDC"/>
    <w:rsid w:val="0043661A"/>
    <w:rsid w:val="00440BC4"/>
    <w:rsid w:val="00442892"/>
    <w:rsid w:val="00447D83"/>
    <w:rsid w:val="00450B62"/>
    <w:rsid w:val="00451AC5"/>
    <w:rsid w:val="004542FB"/>
    <w:rsid w:val="00463536"/>
    <w:rsid w:val="004639D9"/>
    <w:rsid w:val="00463A10"/>
    <w:rsid w:val="00474510"/>
    <w:rsid w:val="00476FF1"/>
    <w:rsid w:val="004775A3"/>
    <w:rsid w:val="00484B15"/>
    <w:rsid w:val="00485716"/>
    <w:rsid w:val="00490F2E"/>
    <w:rsid w:val="0049270D"/>
    <w:rsid w:val="004932DB"/>
    <w:rsid w:val="004971C1"/>
    <w:rsid w:val="00497707"/>
    <w:rsid w:val="004A0975"/>
    <w:rsid w:val="004A1BF0"/>
    <w:rsid w:val="004B3A48"/>
    <w:rsid w:val="004B77BE"/>
    <w:rsid w:val="004C022D"/>
    <w:rsid w:val="004C4FBA"/>
    <w:rsid w:val="004D160D"/>
    <w:rsid w:val="004D2DE6"/>
    <w:rsid w:val="004D3996"/>
    <w:rsid w:val="004D71F7"/>
    <w:rsid w:val="004E1A96"/>
    <w:rsid w:val="004E4DCD"/>
    <w:rsid w:val="00525D99"/>
    <w:rsid w:val="005274FE"/>
    <w:rsid w:val="00540E9B"/>
    <w:rsid w:val="00545C11"/>
    <w:rsid w:val="00546A9D"/>
    <w:rsid w:val="005473EC"/>
    <w:rsid w:val="00547494"/>
    <w:rsid w:val="00553AD5"/>
    <w:rsid w:val="0055522F"/>
    <w:rsid w:val="005605EE"/>
    <w:rsid w:val="00560913"/>
    <w:rsid w:val="005620D5"/>
    <w:rsid w:val="0056687E"/>
    <w:rsid w:val="00566C5F"/>
    <w:rsid w:val="00572F9A"/>
    <w:rsid w:val="00580382"/>
    <w:rsid w:val="00580744"/>
    <w:rsid w:val="005827F5"/>
    <w:rsid w:val="00582CD9"/>
    <w:rsid w:val="00584C7A"/>
    <w:rsid w:val="00587196"/>
    <w:rsid w:val="00595A9D"/>
    <w:rsid w:val="00597E0E"/>
    <w:rsid w:val="005A1B0C"/>
    <w:rsid w:val="005A2D57"/>
    <w:rsid w:val="005A59EE"/>
    <w:rsid w:val="005A6FAB"/>
    <w:rsid w:val="005B6E2B"/>
    <w:rsid w:val="005D2043"/>
    <w:rsid w:val="005D2722"/>
    <w:rsid w:val="005D51D0"/>
    <w:rsid w:val="005D59E5"/>
    <w:rsid w:val="005D5C8B"/>
    <w:rsid w:val="005E07FD"/>
    <w:rsid w:val="005E6D6C"/>
    <w:rsid w:val="005F0051"/>
    <w:rsid w:val="005F62E4"/>
    <w:rsid w:val="006067B5"/>
    <w:rsid w:val="00606848"/>
    <w:rsid w:val="00607C0D"/>
    <w:rsid w:val="006138C5"/>
    <w:rsid w:val="00614A36"/>
    <w:rsid w:val="00623AEB"/>
    <w:rsid w:val="00625C88"/>
    <w:rsid w:val="006264B3"/>
    <w:rsid w:val="00626B33"/>
    <w:rsid w:val="0063222B"/>
    <w:rsid w:val="006327FC"/>
    <w:rsid w:val="0063629B"/>
    <w:rsid w:val="00636799"/>
    <w:rsid w:val="00637D7E"/>
    <w:rsid w:val="006400BF"/>
    <w:rsid w:val="00647F17"/>
    <w:rsid w:val="00651414"/>
    <w:rsid w:val="00655ED0"/>
    <w:rsid w:val="00671522"/>
    <w:rsid w:val="0067458A"/>
    <w:rsid w:val="006746D7"/>
    <w:rsid w:val="00674B3A"/>
    <w:rsid w:val="00681E96"/>
    <w:rsid w:val="00682F8B"/>
    <w:rsid w:val="00683F21"/>
    <w:rsid w:val="006859AF"/>
    <w:rsid w:val="006A33DE"/>
    <w:rsid w:val="006A563D"/>
    <w:rsid w:val="006B0068"/>
    <w:rsid w:val="006B21B3"/>
    <w:rsid w:val="006B7209"/>
    <w:rsid w:val="006C1387"/>
    <w:rsid w:val="006C2EB0"/>
    <w:rsid w:val="006D722F"/>
    <w:rsid w:val="006E3BC2"/>
    <w:rsid w:val="006E53F1"/>
    <w:rsid w:val="006F0D10"/>
    <w:rsid w:val="006F243D"/>
    <w:rsid w:val="006F4554"/>
    <w:rsid w:val="006F500A"/>
    <w:rsid w:val="006F5518"/>
    <w:rsid w:val="00701918"/>
    <w:rsid w:val="007028B8"/>
    <w:rsid w:val="00704D83"/>
    <w:rsid w:val="007065A3"/>
    <w:rsid w:val="007138E0"/>
    <w:rsid w:val="007147C3"/>
    <w:rsid w:val="00720E27"/>
    <w:rsid w:val="007239EF"/>
    <w:rsid w:val="00740FFC"/>
    <w:rsid w:val="00741330"/>
    <w:rsid w:val="00741D4F"/>
    <w:rsid w:val="007459E2"/>
    <w:rsid w:val="007465A7"/>
    <w:rsid w:val="00754144"/>
    <w:rsid w:val="00760B9F"/>
    <w:rsid w:val="0076713D"/>
    <w:rsid w:val="007718FB"/>
    <w:rsid w:val="00772D6C"/>
    <w:rsid w:val="0077328D"/>
    <w:rsid w:val="00776EE0"/>
    <w:rsid w:val="00777217"/>
    <w:rsid w:val="007A17C7"/>
    <w:rsid w:val="007B016D"/>
    <w:rsid w:val="007B1F9A"/>
    <w:rsid w:val="007B35A2"/>
    <w:rsid w:val="007B7C3E"/>
    <w:rsid w:val="007C4CBE"/>
    <w:rsid w:val="007C51AF"/>
    <w:rsid w:val="007C6B62"/>
    <w:rsid w:val="007D05AA"/>
    <w:rsid w:val="007D3B4A"/>
    <w:rsid w:val="007D6A2D"/>
    <w:rsid w:val="007D7041"/>
    <w:rsid w:val="007D7966"/>
    <w:rsid w:val="007E075C"/>
    <w:rsid w:val="007E4904"/>
    <w:rsid w:val="007F2B99"/>
    <w:rsid w:val="007F39CE"/>
    <w:rsid w:val="00801069"/>
    <w:rsid w:val="00801D31"/>
    <w:rsid w:val="008223A7"/>
    <w:rsid w:val="0082530F"/>
    <w:rsid w:val="00830AA2"/>
    <w:rsid w:val="00847356"/>
    <w:rsid w:val="00847482"/>
    <w:rsid w:val="0085225E"/>
    <w:rsid w:val="00853399"/>
    <w:rsid w:val="00856023"/>
    <w:rsid w:val="008577BE"/>
    <w:rsid w:val="00863948"/>
    <w:rsid w:val="00866762"/>
    <w:rsid w:val="00870BA5"/>
    <w:rsid w:val="0087135F"/>
    <w:rsid w:val="008812EE"/>
    <w:rsid w:val="0088337F"/>
    <w:rsid w:val="00887A96"/>
    <w:rsid w:val="008A2863"/>
    <w:rsid w:val="008A331E"/>
    <w:rsid w:val="008A5FA4"/>
    <w:rsid w:val="008B19E5"/>
    <w:rsid w:val="008B6A63"/>
    <w:rsid w:val="008C1BE6"/>
    <w:rsid w:val="008C4573"/>
    <w:rsid w:val="008C53DC"/>
    <w:rsid w:val="008D4676"/>
    <w:rsid w:val="008E2914"/>
    <w:rsid w:val="008E6745"/>
    <w:rsid w:val="008F0931"/>
    <w:rsid w:val="008F75B0"/>
    <w:rsid w:val="00901B2D"/>
    <w:rsid w:val="00910925"/>
    <w:rsid w:val="00913A9C"/>
    <w:rsid w:val="00915B0D"/>
    <w:rsid w:val="00916926"/>
    <w:rsid w:val="009177B7"/>
    <w:rsid w:val="0093224F"/>
    <w:rsid w:val="00934480"/>
    <w:rsid w:val="00946100"/>
    <w:rsid w:val="009548E9"/>
    <w:rsid w:val="0095593B"/>
    <w:rsid w:val="009667C2"/>
    <w:rsid w:val="00976670"/>
    <w:rsid w:val="00976911"/>
    <w:rsid w:val="00991B55"/>
    <w:rsid w:val="009B28A7"/>
    <w:rsid w:val="009C0790"/>
    <w:rsid w:val="009C0DAB"/>
    <w:rsid w:val="009C1ABC"/>
    <w:rsid w:val="009C6AC2"/>
    <w:rsid w:val="009D3D80"/>
    <w:rsid w:val="009D4FDF"/>
    <w:rsid w:val="009D6B6A"/>
    <w:rsid w:val="009E0BE0"/>
    <w:rsid w:val="009E2EEA"/>
    <w:rsid w:val="009E3178"/>
    <w:rsid w:val="009E4E58"/>
    <w:rsid w:val="009E6455"/>
    <w:rsid w:val="009F4597"/>
    <w:rsid w:val="009F50D8"/>
    <w:rsid w:val="00A00786"/>
    <w:rsid w:val="00A041BC"/>
    <w:rsid w:val="00A04D8E"/>
    <w:rsid w:val="00A05B46"/>
    <w:rsid w:val="00A17E1D"/>
    <w:rsid w:val="00A22F2E"/>
    <w:rsid w:val="00A30DD6"/>
    <w:rsid w:val="00A34140"/>
    <w:rsid w:val="00A35DAA"/>
    <w:rsid w:val="00A4013D"/>
    <w:rsid w:val="00A4139C"/>
    <w:rsid w:val="00A505EC"/>
    <w:rsid w:val="00A565F2"/>
    <w:rsid w:val="00A605AF"/>
    <w:rsid w:val="00A61608"/>
    <w:rsid w:val="00A650DA"/>
    <w:rsid w:val="00A733A3"/>
    <w:rsid w:val="00A74D98"/>
    <w:rsid w:val="00A8380E"/>
    <w:rsid w:val="00A84DA2"/>
    <w:rsid w:val="00A975E0"/>
    <w:rsid w:val="00AA2982"/>
    <w:rsid w:val="00AA47FF"/>
    <w:rsid w:val="00AB6506"/>
    <w:rsid w:val="00AB7F8C"/>
    <w:rsid w:val="00AC02ED"/>
    <w:rsid w:val="00AC1A39"/>
    <w:rsid w:val="00AC48D0"/>
    <w:rsid w:val="00AC747D"/>
    <w:rsid w:val="00AD0C36"/>
    <w:rsid w:val="00AD6BB3"/>
    <w:rsid w:val="00AE0B5F"/>
    <w:rsid w:val="00AE1B7F"/>
    <w:rsid w:val="00AF13DB"/>
    <w:rsid w:val="00AF4A38"/>
    <w:rsid w:val="00AF4D9E"/>
    <w:rsid w:val="00B02D6E"/>
    <w:rsid w:val="00B03D2C"/>
    <w:rsid w:val="00B03F1A"/>
    <w:rsid w:val="00B12AA4"/>
    <w:rsid w:val="00B23E2B"/>
    <w:rsid w:val="00B316CE"/>
    <w:rsid w:val="00B34F1D"/>
    <w:rsid w:val="00B4035F"/>
    <w:rsid w:val="00B42705"/>
    <w:rsid w:val="00B5184F"/>
    <w:rsid w:val="00B53D88"/>
    <w:rsid w:val="00B544E7"/>
    <w:rsid w:val="00B55CBE"/>
    <w:rsid w:val="00B61CF1"/>
    <w:rsid w:val="00B647B3"/>
    <w:rsid w:val="00B72550"/>
    <w:rsid w:val="00B751A1"/>
    <w:rsid w:val="00B76257"/>
    <w:rsid w:val="00B76BF4"/>
    <w:rsid w:val="00B77B38"/>
    <w:rsid w:val="00B8118A"/>
    <w:rsid w:val="00B81CA1"/>
    <w:rsid w:val="00B918CE"/>
    <w:rsid w:val="00B9202F"/>
    <w:rsid w:val="00B97B6E"/>
    <w:rsid w:val="00BA3104"/>
    <w:rsid w:val="00BA558B"/>
    <w:rsid w:val="00BB0D4B"/>
    <w:rsid w:val="00BB3BCC"/>
    <w:rsid w:val="00BB693C"/>
    <w:rsid w:val="00BC26C3"/>
    <w:rsid w:val="00BC4B20"/>
    <w:rsid w:val="00BC50DE"/>
    <w:rsid w:val="00BC6B3D"/>
    <w:rsid w:val="00BD00E4"/>
    <w:rsid w:val="00BD0F30"/>
    <w:rsid w:val="00BD30DD"/>
    <w:rsid w:val="00BF3A39"/>
    <w:rsid w:val="00C043DC"/>
    <w:rsid w:val="00C04CFB"/>
    <w:rsid w:val="00C21A80"/>
    <w:rsid w:val="00C23163"/>
    <w:rsid w:val="00C25EF1"/>
    <w:rsid w:val="00C50207"/>
    <w:rsid w:val="00C50651"/>
    <w:rsid w:val="00C507AB"/>
    <w:rsid w:val="00C5241E"/>
    <w:rsid w:val="00C57E3E"/>
    <w:rsid w:val="00C63523"/>
    <w:rsid w:val="00C64B67"/>
    <w:rsid w:val="00C70852"/>
    <w:rsid w:val="00C71127"/>
    <w:rsid w:val="00C74751"/>
    <w:rsid w:val="00C77710"/>
    <w:rsid w:val="00C820E6"/>
    <w:rsid w:val="00C84E62"/>
    <w:rsid w:val="00C869A9"/>
    <w:rsid w:val="00C93D38"/>
    <w:rsid w:val="00C979A4"/>
    <w:rsid w:val="00CA273F"/>
    <w:rsid w:val="00CB2412"/>
    <w:rsid w:val="00CC10A5"/>
    <w:rsid w:val="00CC313C"/>
    <w:rsid w:val="00CC3EFC"/>
    <w:rsid w:val="00CC4A90"/>
    <w:rsid w:val="00CC5232"/>
    <w:rsid w:val="00CE0655"/>
    <w:rsid w:val="00CE169F"/>
    <w:rsid w:val="00CE76C0"/>
    <w:rsid w:val="00CF6053"/>
    <w:rsid w:val="00CF71A4"/>
    <w:rsid w:val="00CF737B"/>
    <w:rsid w:val="00D0304C"/>
    <w:rsid w:val="00D0398B"/>
    <w:rsid w:val="00D12A18"/>
    <w:rsid w:val="00D1482C"/>
    <w:rsid w:val="00D1566F"/>
    <w:rsid w:val="00D163CC"/>
    <w:rsid w:val="00D16D6C"/>
    <w:rsid w:val="00D17519"/>
    <w:rsid w:val="00D2141C"/>
    <w:rsid w:val="00D2456D"/>
    <w:rsid w:val="00D32D6D"/>
    <w:rsid w:val="00D355A5"/>
    <w:rsid w:val="00D4099D"/>
    <w:rsid w:val="00D4200E"/>
    <w:rsid w:val="00D47ECF"/>
    <w:rsid w:val="00D52FF7"/>
    <w:rsid w:val="00D5363D"/>
    <w:rsid w:val="00D60AAF"/>
    <w:rsid w:val="00D62D04"/>
    <w:rsid w:val="00D65B97"/>
    <w:rsid w:val="00D6715F"/>
    <w:rsid w:val="00D67C5F"/>
    <w:rsid w:val="00D7566A"/>
    <w:rsid w:val="00D758E1"/>
    <w:rsid w:val="00D800BE"/>
    <w:rsid w:val="00D926D6"/>
    <w:rsid w:val="00D93E11"/>
    <w:rsid w:val="00D9489F"/>
    <w:rsid w:val="00DA0523"/>
    <w:rsid w:val="00DA3F69"/>
    <w:rsid w:val="00DA4D80"/>
    <w:rsid w:val="00DA7D5A"/>
    <w:rsid w:val="00DB4C54"/>
    <w:rsid w:val="00DB4EF7"/>
    <w:rsid w:val="00DB64E9"/>
    <w:rsid w:val="00DB6AD2"/>
    <w:rsid w:val="00DB738F"/>
    <w:rsid w:val="00DC2E6F"/>
    <w:rsid w:val="00DC405C"/>
    <w:rsid w:val="00DC447E"/>
    <w:rsid w:val="00DC5671"/>
    <w:rsid w:val="00DC5EA3"/>
    <w:rsid w:val="00DD4F03"/>
    <w:rsid w:val="00DD62D8"/>
    <w:rsid w:val="00DE4805"/>
    <w:rsid w:val="00DF30CE"/>
    <w:rsid w:val="00DF552E"/>
    <w:rsid w:val="00DF7A95"/>
    <w:rsid w:val="00E005F8"/>
    <w:rsid w:val="00E021B1"/>
    <w:rsid w:val="00E0359C"/>
    <w:rsid w:val="00E03B2F"/>
    <w:rsid w:val="00E17B47"/>
    <w:rsid w:val="00E24CA2"/>
    <w:rsid w:val="00E25741"/>
    <w:rsid w:val="00E257FC"/>
    <w:rsid w:val="00E25C29"/>
    <w:rsid w:val="00E32A6D"/>
    <w:rsid w:val="00E41DFE"/>
    <w:rsid w:val="00E474A5"/>
    <w:rsid w:val="00E504B0"/>
    <w:rsid w:val="00E537B4"/>
    <w:rsid w:val="00E53B96"/>
    <w:rsid w:val="00E653D8"/>
    <w:rsid w:val="00E71CD6"/>
    <w:rsid w:val="00E76806"/>
    <w:rsid w:val="00E82699"/>
    <w:rsid w:val="00E86561"/>
    <w:rsid w:val="00E956E9"/>
    <w:rsid w:val="00E963F9"/>
    <w:rsid w:val="00EC1B6E"/>
    <w:rsid w:val="00EC7E58"/>
    <w:rsid w:val="00ED1E89"/>
    <w:rsid w:val="00ED2CA0"/>
    <w:rsid w:val="00ED563E"/>
    <w:rsid w:val="00EE2333"/>
    <w:rsid w:val="00EE427E"/>
    <w:rsid w:val="00EF2704"/>
    <w:rsid w:val="00EF5BA6"/>
    <w:rsid w:val="00EF6410"/>
    <w:rsid w:val="00EF72F9"/>
    <w:rsid w:val="00F01408"/>
    <w:rsid w:val="00F03C3F"/>
    <w:rsid w:val="00F06800"/>
    <w:rsid w:val="00F10052"/>
    <w:rsid w:val="00F11E0B"/>
    <w:rsid w:val="00F129B4"/>
    <w:rsid w:val="00F13BDD"/>
    <w:rsid w:val="00F15C7D"/>
    <w:rsid w:val="00F20963"/>
    <w:rsid w:val="00F20B69"/>
    <w:rsid w:val="00F211A8"/>
    <w:rsid w:val="00F249F7"/>
    <w:rsid w:val="00F260A1"/>
    <w:rsid w:val="00F41B50"/>
    <w:rsid w:val="00F41E38"/>
    <w:rsid w:val="00F425C2"/>
    <w:rsid w:val="00F4342E"/>
    <w:rsid w:val="00F44608"/>
    <w:rsid w:val="00F50E06"/>
    <w:rsid w:val="00F535DD"/>
    <w:rsid w:val="00F63528"/>
    <w:rsid w:val="00F70314"/>
    <w:rsid w:val="00F71420"/>
    <w:rsid w:val="00F72714"/>
    <w:rsid w:val="00F904BD"/>
    <w:rsid w:val="00F91CFE"/>
    <w:rsid w:val="00F91F80"/>
    <w:rsid w:val="00F96926"/>
    <w:rsid w:val="00FA6698"/>
    <w:rsid w:val="00FB17DB"/>
    <w:rsid w:val="00FB5E7E"/>
    <w:rsid w:val="00FB660D"/>
    <w:rsid w:val="00FB7AA3"/>
    <w:rsid w:val="00FC18E1"/>
    <w:rsid w:val="00FE059E"/>
    <w:rsid w:val="00FE073F"/>
    <w:rsid w:val="00FE418F"/>
    <w:rsid w:val="00FF0D6A"/>
    <w:rsid w:val="00FF52DD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1B2C2D-EA4A-4884-B106-9EDAA9D1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1">
    <w:name w:val="heading 1"/>
    <w:basedOn w:val="a"/>
    <w:next w:val="a"/>
    <w:qFormat/>
    <w:pPr>
      <w:keepNext/>
      <w:ind w:right="-522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rPr>
      <w:lang w:val="en-US"/>
    </w:rPr>
  </w:style>
  <w:style w:type="paragraph" w:customStyle="1" w:styleId="110">
    <w:name w:val="Заголовок 11"/>
    <w:basedOn w:val="12"/>
    <w:next w:val="12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1">
    <w:name w:val="Заголовок 21"/>
    <w:basedOn w:val="12"/>
    <w:next w:val="12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11">
    <w:name w:val="Заголовок 31"/>
    <w:basedOn w:val="12"/>
    <w:next w:val="12"/>
    <w:pPr>
      <w:keepNext/>
      <w:spacing w:before="240" w:after="60"/>
    </w:pPr>
    <w:rPr>
      <w:rFonts w:ascii="Arial" w:hAnsi="Arial"/>
      <w:sz w:val="24"/>
    </w:rPr>
  </w:style>
  <w:style w:type="paragraph" w:customStyle="1" w:styleId="411">
    <w:name w:val="Заголовок 41"/>
    <w:basedOn w:val="12"/>
    <w:next w:val="12"/>
    <w:pPr>
      <w:keepNext/>
      <w:spacing w:before="240" w:after="60"/>
    </w:pPr>
    <w:rPr>
      <w:rFonts w:ascii="Arial" w:hAnsi="Arial"/>
      <w:b/>
      <w:sz w:val="24"/>
    </w:rPr>
  </w:style>
  <w:style w:type="paragraph" w:customStyle="1" w:styleId="511">
    <w:name w:val="Заголовок 51"/>
    <w:basedOn w:val="12"/>
    <w:next w:val="12"/>
    <w:pPr>
      <w:spacing w:before="240" w:after="60"/>
    </w:pPr>
    <w:rPr>
      <w:sz w:val="22"/>
    </w:rPr>
  </w:style>
  <w:style w:type="paragraph" w:customStyle="1" w:styleId="61">
    <w:name w:val="Заголовок 61"/>
    <w:basedOn w:val="12"/>
    <w:next w:val="12"/>
    <w:pPr>
      <w:spacing w:before="240" w:after="60"/>
    </w:pPr>
    <w:rPr>
      <w:i/>
      <w:sz w:val="22"/>
    </w:rPr>
  </w:style>
  <w:style w:type="paragraph" w:customStyle="1" w:styleId="71">
    <w:name w:val="Заголовок 71"/>
    <w:basedOn w:val="12"/>
    <w:next w:val="12"/>
    <w:pPr>
      <w:spacing w:before="240" w:after="60"/>
    </w:pPr>
    <w:rPr>
      <w:rFonts w:ascii="Arial" w:hAnsi="Arial"/>
    </w:rPr>
  </w:style>
  <w:style w:type="paragraph" w:customStyle="1" w:styleId="81">
    <w:name w:val="Заголовок 81"/>
    <w:basedOn w:val="12"/>
    <w:next w:val="12"/>
    <w:pPr>
      <w:spacing w:before="240" w:after="60"/>
    </w:pPr>
    <w:rPr>
      <w:rFonts w:ascii="Arial" w:hAnsi="Arial"/>
      <w:i/>
    </w:rPr>
  </w:style>
  <w:style w:type="paragraph" w:customStyle="1" w:styleId="91">
    <w:name w:val="Заголовок 91"/>
    <w:basedOn w:val="12"/>
    <w:next w:val="12"/>
    <w:pPr>
      <w:spacing w:before="240" w:after="60"/>
    </w:pPr>
    <w:rPr>
      <w:rFonts w:ascii="Arial" w:hAnsi="Arial"/>
      <w:b/>
      <w:i/>
      <w:sz w:val="18"/>
    </w:rPr>
  </w:style>
  <w:style w:type="character" w:customStyle="1" w:styleId="13">
    <w:name w:val="Основной шрифт абзаца1"/>
  </w:style>
  <w:style w:type="character" w:customStyle="1" w:styleId="14">
    <w:name w:val="Номер страницы1"/>
    <w:basedOn w:val="13"/>
  </w:style>
  <w:style w:type="paragraph" w:customStyle="1" w:styleId="15">
    <w:name w:val="Нижний колонтитул1"/>
    <w:basedOn w:val="12"/>
    <w:pPr>
      <w:tabs>
        <w:tab w:val="center" w:pos="4320"/>
        <w:tab w:val="right" w:pos="8640"/>
      </w:tabs>
      <w:spacing w:line="480" w:lineRule="auto"/>
    </w:pPr>
    <w:rPr>
      <w:sz w:val="24"/>
    </w:rPr>
  </w:style>
  <w:style w:type="paragraph" w:customStyle="1" w:styleId="16">
    <w:name w:val="Верхний колонтитул1"/>
    <w:basedOn w:val="12"/>
    <w:pPr>
      <w:tabs>
        <w:tab w:val="center" w:pos="4153"/>
        <w:tab w:val="right" w:pos="8306"/>
      </w:tabs>
    </w:pPr>
  </w:style>
  <w:style w:type="paragraph" w:customStyle="1" w:styleId="17">
    <w:name w:val="Основной текст1"/>
    <w:basedOn w:val="12"/>
    <w:pPr>
      <w:spacing w:before="120"/>
    </w:pPr>
    <w:rPr>
      <w:u w:val="single"/>
      <w:lang w:val="ru-RU"/>
    </w:rPr>
  </w:style>
  <w:style w:type="paragraph" w:customStyle="1" w:styleId="18">
    <w:name w:val="Цитата1"/>
    <w:basedOn w:val="12"/>
    <w:pPr>
      <w:spacing w:after="120"/>
      <w:ind w:left="1440" w:right="1440"/>
    </w:pPr>
  </w:style>
  <w:style w:type="paragraph" w:customStyle="1" w:styleId="212">
    <w:name w:val="Основной текст 21"/>
    <w:basedOn w:val="12"/>
    <w:pPr>
      <w:spacing w:after="120" w:line="480" w:lineRule="auto"/>
    </w:pPr>
  </w:style>
  <w:style w:type="paragraph" w:customStyle="1" w:styleId="312">
    <w:name w:val="Основной текст 31"/>
    <w:basedOn w:val="12"/>
    <w:pPr>
      <w:spacing w:after="120"/>
    </w:pPr>
    <w:rPr>
      <w:sz w:val="16"/>
    </w:rPr>
  </w:style>
  <w:style w:type="paragraph" w:customStyle="1" w:styleId="19">
    <w:name w:val="Красная строка1"/>
    <w:basedOn w:val="17"/>
    <w:pPr>
      <w:spacing w:before="0" w:after="120"/>
      <w:ind w:firstLine="210"/>
    </w:pPr>
    <w:rPr>
      <w:u w:val="none"/>
      <w:lang w:val="en-US"/>
    </w:rPr>
  </w:style>
  <w:style w:type="paragraph" w:customStyle="1" w:styleId="BodyText21">
    <w:name w:val="Body Text 21"/>
    <w:basedOn w:val="12"/>
    <w:pPr>
      <w:spacing w:after="120"/>
      <w:ind w:left="360"/>
    </w:pPr>
  </w:style>
  <w:style w:type="paragraph" w:customStyle="1" w:styleId="213">
    <w:name w:val="Красная строка 21"/>
    <w:basedOn w:val="BodyText21"/>
    <w:pPr>
      <w:ind w:firstLine="210"/>
    </w:pPr>
  </w:style>
  <w:style w:type="paragraph" w:customStyle="1" w:styleId="214">
    <w:name w:val="Основной текст с отступом 21"/>
    <w:basedOn w:val="12"/>
    <w:pPr>
      <w:spacing w:after="120" w:line="480" w:lineRule="auto"/>
      <w:ind w:left="360"/>
    </w:pPr>
  </w:style>
  <w:style w:type="paragraph" w:customStyle="1" w:styleId="313">
    <w:name w:val="Основной текст с отступом 31"/>
    <w:basedOn w:val="12"/>
    <w:pPr>
      <w:spacing w:after="120"/>
      <w:ind w:left="360"/>
    </w:pPr>
    <w:rPr>
      <w:sz w:val="16"/>
    </w:rPr>
  </w:style>
  <w:style w:type="paragraph" w:customStyle="1" w:styleId="1a">
    <w:name w:val="Название объекта1"/>
    <w:basedOn w:val="12"/>
    <w:next w:val="12"/>
    <w:pPr>
      <w:spacing w:before="120" w:after="120"/>
    </w:pPr>
    <w:rPr>
      <w:b/>
    </w:rPr>
  </w:style>
  <w:style w:type="paragraph" w:customStyle="1" w:styleId="1b">
    <w:name w:val="Прощание1"/>
    <w:basedOn w:val="12"/>
    <w:pPr>
      <w:ind w:left="4320"/>
    </w:pPr>
  </w:style>
  <w:style w:type="character" w:customStyle="1" w:styleId="1c">
    <w:name w:val="Знак примечания1"/>
    <w:basedOn w:val="13"/>
    <w:rPr>
      <w:sz w:val="16"/>
    </w:rPr>
  </w:style>
  <w:style w:type="paragraph" w:customStyle="1" w:styleId="1d">
    <w:name w:val="Текст примечания1"/>
    <w:basedOn w:val="12"/>
  </w:style>
  <w:style w:type="paragraph" w:customStyle="1" w:styleId="1e">
    <w:name w:val="Дата1"/>
    <w:basedOn w:val="12"/>
    <w:next w:val="12"/>
  </w:style>
  <w:style w:type="paragraph" w:customStyle="1" w:styleId="1f">
    <w:name w:val="Схема документа1"/>
    <w:basedOn w:val="12"/>
    <w:pPr>
      <w:shd w:val="clear" w:color="auto" w:fill="000080"/>
    </w:pPr>
    <w:rPr>
      <w:rFonts w:ascii="Tahoma" w:hAnsi="Tahoma"/>
    </w:rPr>
  </w:style>
  <w:style w:type="character" w:customStyle="1" w:styleId="1f0">
    <w:name w:val="Выделение1"/>
    <w:basedOn w:val="13"/>
    <w:rPr>
      <w:i/>
    </w:rPr>
  </w:style>
  <w:style w:type="character" w:customStyle="1" w:styleId="1f1">
    <w:name w:val="Знак концевой сноски1"/>
    <w:basedOn w:val="13"/>
    <w:rPr>
      <w:vertAlign w:val="superscript"/>
    </w:rPr>
  </w:style>
  <w:style w:type="paragraph" w:customStyle="1" w:styleId="1f2">
    <w:name w:val="Текст концевой сноски1"/>
    <w:basedOn w:val="12"/>
  </w:style>
  <w:style w:type="paragraph" w:customStyle="1" w:styleId="1f3">
    <w:name w:val="Адрес на конверте1"/>
    <w:basedOn w:val="12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customStyle="1" w:styleId="215">
    <w:name w:val="Обратный адрес 21"/>
    <w:basedOn w:val="12"/>
    <w:rPr>
      <w:rFonts w:ascii="Arial" w:hAnsi="Arial"/>
    </w:rPr>
  </w:style>
  <w:style w:type="character" w:customStyle="1" w:styleId="1f4">
    <w:name w:val="Просмотренная гиперссылка1"/>
    <w:basedOn w:val="13"/>
    <w:rPr>
      <w:color w:val="800080"/>
      <w:u w:val="single"/>
    </w:rPr>
  </w:style>
  <w:style w:type="character" w:customStyle="1" w:styleId="1f5">
    <w:name w:val="Знак сноски1"/>
    <w:basedOn w:val="13"/>
    <w:rPr>
      <w:vertAlign w:val="superscript"/>
    </w:rPr>
  </w:style>
  <w:style w:type="paragraph" w:customStyle="1" w:styleId="1f6">
    <w:name w:val="Текст сноски1"/>
    <w:basedOn w:val="12"/>
  </w:style>
  <w:style w:type="character" w:customStyle="1" w:styleId="1f7">
    <w:name w:val="Гиперссылка1"/>
    <w:basedOn w:val="13"/>
    <w:rPr>
      <w:color w:val="0000FF"/>
      <w:u w:val="single"/>
    </w:rPr>
  </w:style>
  <w:style w:type="paragraph" w:customStyle="1" w:styleId="111">
    <w:name w:val="Указатель 11"/>
    <w:basedOn w:val="12"/>
    <w:next w:val="12"/>
    <w:autoRedefine/>
    <w:pPr>
      <w:ind w:left="200" w:hanging="200"/>
    </w:pPr>
  </w:style>
  <w:style w:type="paragraph" w:customStyle="1" w:styleId="216">
    <w:name w:val="Указатель 21"/>
    <w:basedOn w:val="12"/>
    <w:next w:val="12"/>
    <w:autoRedefine/>
    <w:pPr>
      <w:ind w:left="400" w:hanging="200"/>
    </w:pPr>
  </w:style>
  <w:style w:type="paragraph" w:customStyle="1" w:styleId="314">
    <w:name w:val="Указатель 31"/>
    <w:basedOn w:val="12"/>
    <w:next w:val="12"/>
    <w:autoRedefine/>
    <w:pPr>
      <w:ind w:left="600" w:hanging="200"/>
    </w:pPr>
  </w:style>
  <w:style w:type="paragraph" w:customStyle="1" w:styleId="412">
    <w:name w:val="Указатель 41"/>
    <w:basedOn w:val="12"/>
    <w:next w:val="12"/>
    <w:autoRedefine/>
    <w:pPr>
      <w:ind w:left="800" w:hanging="200"/>
    </w:pPr>
  </w:style>
  <w:style w:type="paragraph" w:customStyle="1" w:styleId="512">
    <w:name w:val="Указатель 51"/>
    <w:basedOn w:val="12"/>
    <w:next w:val="12"/>
    <w:autoRedefine/>
    <w:pPr>
      <w:ind w:left="1000" w:hanging="200"/>
    </w:pPr>
  </w:style>
  <w:style w:type="paragraph" w:customStyle="1" w:styleId="610">
    <w:name w:val="Указатель 61"/>
    <w:basedOn w:val="12"/>
    <w:next w:val="12"/>
    <w:autoRedefine/>
    <w:pPr>
      <w:ind w:left="1200" w:hanging="200"/>
    </w:pPr>
  </w:style>
  <w:style w:type="paragraph" w:customStyle="1" w:styleId="710">
    <w:name w:val="Указатель 71"/>
    <w:basedOn w:val="12"/>
    <w:next w:val="12"/>
    <w:autoRedefine/>
    <w:pPr>
      <w:ind w:left="1400" w:hanging="200"/>
    </w:pPr>
  </w:style>
  <w:style w:type="paragraph" w:customStyle="1" w:styleId="810">
    <w:name w:val="Указатель 81"/>
    <w:basedOn w:val="12"/>
    <w:next w:val="12"/>
    <w:autoRedefine/>
    <w:pPr>
      <w:ind w:left="1600" w:hanging="200"/>
    </w:pPr>
  </w:style>
  <w:style w:type="paragraph" w:customStyle="1" w:styleId="910">
    <w:name w:val="Указатель 91"/>
    <w:basedOn w:val="12"/>
    <w:next w:val="12"/>
    <w:autoRedefine/>
    <w:pPr>
      <w:ind w:left="1800" w:hanging="200"/>
    </w:pPr>
  </w:style>
  <w:style w:type="paragraph" w:customStyle="1" w:styleId="1f8">
    <w:name w:val="Указатель1"/>
    <w:basedOn w:val="12"/>
    <w:next w:val="111"/>
    <w:rPr>
      <w:rFonts w:ascii="Arial" w:hAnsi="Arial"/>
      <w:b/>
    </w:rPr>
  </w:style>
  <w:style w:type="character" w:customStyle="1" w:styleId="1f9">
    <w:name w:val="Номер строки1"/>
    <w:basedOn w:val="13"/>
  </w:style>
  <w:style w:type="paragraph" w:customStyle="1" w:styleId="1fa">
    <w:name w:val="Список1"/>
    <w:basedOn w:val="12"/>
    <w:pPr>
      <w:ind w:left="360" w:hanging="360"/>
    </w:pPr>
  </w:style>
  <w:style w:type="paragraph" w:customStyle="1" w:styleId="217">
    <w:name w:val="Список 21"/>
    <w:basedOn w:val="12"/>
    <w:pPr>
      <w:ind w:left="720" w:hanging="360"/>
    </w:pPr>
  </w:style>
  <w:style w:type="paragraph" w:customStyle="1" w:styleId="315">
    <w:name w:val="Список 31"/>
    <w:basedOn w:val="12"/>
    <w:pPr>
      <w:ind w:left="1080" w:hanging="360"/>
    </w:pPr>
  </w:style>
  <w:style w:type="paragraph" w:customStyle="1" w:styleId="413">
    <w:name w:val="Список 41"/>
    <w:basedOn w:val="12"/>
    <w:pPr>
      <w:ind w:left="1440" w:hanging="360"/>
    </w:pPr>
  </w:style>
  <w:style w:type="paragraph" w:customStyle="1" w:styleId="513">
    <w:name w:val="Список 51"/>
    <w:basedOn w:val="12"/>
    <w:pPr>
      <w:ind w:left="1800" w:hanging="360"/>
    </w:pPr>
  </w:style>
  <w:style w:type="paragraph" w:customStyle="1" w:styleId="10">
    <w:name w:val="Маркированный список1"/>
    <w:basedOn w:val="12"/>
    <w:autoRedefine/>
    <w:pPr>
      <w:numPr>
        <w:numId w:val="1"/>
      </w:numPr>
    </w:pPr>
  </w:style>
  <w:style w:type="paragraph" w:customStyle="1" w:styleId="210">
    <w:name w:val="Маркированный список 21"/>
    <w:basedOn w:val="12"/>
    <w:autoRedefine/>
    <w:pPr>
      <w:numPr>
        <w:numId w:val="2"/>
      </w:numPr>
    </w:pPr>
  </w:style>
  <w:style w:type="paragraph" w:customStyle="1" w:styleId="310">
    <w:name w:val="Маркированный список 31"/>
    <w:basedOn w:val="12"/>
    <w:autoRedefine/>
    <w:pPr>
      <w:numPr>
        <w:numId w:val="3"/>
      </w:numPr>
    </w:pPr>
  </w:style>
  <w:style w:type="paragraph" w:customStyle="1" w:styleId="410">
    <w:name w:val="Маркированный список 41"/>
    <w:basedOn w:val="12"/>
    <w:autoRedefine/>
    <w:pPr>
      <w:numPr>
        <w:numId w:val="4"/>
      </w:numPr>
    </w:pPr>
  </w:style>
  <w:style w:type="paragraph" w:customStyle="1" w:styleId="510">
    <w:name w:val="Маркированный список 51"/>
    <w:basedOn w:val="12"/>
    <w:autoRedefine/>
    <w:pPr>
      <w:numPr>
        <w:numId w:val="5"/>
      </w:numPr>
    </w:pPr>
  </w:style>
  <w:style w:type="paragraph" w:customStyle="1" w:styleId="1fb">
    <w:name w:val="Продолжение списка1"/>
    <w:basedOn w:val="12"/>
    <w:pPr>
      <w:spacing w:after="120"/>
      <w:ind w:left="360"/>
    </w:pPr>
  </w:style>
  <w:style w:type="paragraph" w:customStyle="1" w:styleId="218">
    <w:name w:val="Продолжение списка 21"/>
    <w:basedOn w:val="12"/>
    <w:pPr>
      <w:spacing w:after="120"/>
      <w:ind w:left="720"/>
    </w:pPr>
  </w:style>
  <w:style w:type="paragraph" w:customStyle="1" w:styleId="316">
    <w:name w:val="Продолжение списка 31"/>
    <w:basedOn w:val="12"/>
    <w:pPr>
      <w:spacing w:after="120"/>
      <w:ind w:left="1080"/>
    </w:pPr>
  </w:style>
  <w:style w:type="paragraph" w:customStyle="1" w:styleId="414">
    <w:name w:val="Продолжение списка 41"/>
    <w:basedOn w:val="12"/>
    <w:pPr>
      <w:spacing w:after="120"/>
      <w:ind w:left="1440"/>
    </w:pPr>
  </w:style>
  <w:style w:type="paragraph" w:customStyle="1" w:styleId="514">
    <w:name w:val="Продолжение списка 51"/>
    <w:basedOn w:val="12"/>
    <w:pPr>
      <w:spacing w:after="120"/>
      <w:ind w:left="1800"/>
    </w:pPr>
  </w:style>
  <w:style w:type="paragraph" w:customStyle="1" w:styleId="1">
    <w:name w:val="Нумерованный список1"/>
    <w:basedOn w:val="12"/>
    <w:pPr>
      <w:numPr>
        <w:numId w:val="6"/>
      </w:numPr>
    </w:pPr>
  </w:style>
  <w:style w:type="paragraph" w:customStyle="1" w:styleId="21">
    <w:name w:val="Нумерованный список 21"/>
    <w:basedOn w:val="12"/>
    <w:pPr>
      <w:numPr>
        <w:numId w:val="7"/>
      </w:numPr>
    </w:pPr>
  </w:style>
  <w:style w:type="paragraph" w:customStyle="1" w:styleId="31">
    <w:name w:val="Нумерованный список 31"/>
    <w:basedOn w:val="12"/>
    <w:pPr>
      <w:numPr>
        <w:numId w:val="8"/>
      </w:numPr>
    </w:pPr>
  </w:style>
  <w:style w:type="paragraph" w:customStyle="1" w:styleId="41">
    <w:name w:val="Нумерованный список 41"/>
    <w:basedOn w:val="12"/>
    <w:pPr>
      <w:numPr>
        <w:numId w:val="9"/>
      </w:numPr>
    </w:pPr>
  </w:style>
  <w:style w:type="paragraph" w:customStyle="1" w:styleId="51">
    <w:name w:val="Нумерованный список 51"/>
    <w:basedOn w:val="12"/>
    <w:pPr>
      <w:numPr>
        <w:numId w:val="10"/>
      </w:numPr>
    </w:pPr>
  </w:style>
  <w:style w:type="paragraph" w:customStyle="1" w:styleId="1fc">
    <w:name w:val="Текст макроса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US"/>
    </w:rPr>
  </w:style>
  <w:style w:type="paragraph" w:customStyle="1" w:styleId="1fd">
    <w:name w:val="Шапка1"/>
    <w:basedOn w:val="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customStyle="1" w:styleId="1fe">
    <w:name w:val="Обычный отступ1"/>
    <w:basedOn w:val="12"/>
    <w:pPr>
      <w:ind w:left="720"/>
    </w:pPr>
  </w:style>
  <w:style w:type="paragraph" w:customStyle="1" w:styleId="1ff">
    <w:name w:val="Заголовок записки1"/>
    <w:basedOn w:val="12"/>
    <w:next w:val="12"/>
  </w:style>
  <w:style w:type="paragraph" w:customStyle="1" w:styleId="1ff0">
    <w:name w:val="Текст1"/>
    <w:basedOn w:val="12"/>
    <w:rPr>
      <w:rFonts w:ascii="Courier New" w:hAnsi="Courier New"/>
    </w:rPr>
  </w:style>
  <w:style w:type="paragraph" w:customStyle="1" w:styleId="1ff1">
    <w:name w:val="Приветствие1"/>
    <w:basedOn w:val="12"/>
    <w:next w:val="12"/>
  </w:style>
  <w:style w:type="paragraph" w:customStyle="1" w:styleId="1ff2">
    <w:name w:val="Подпись1"/>
    <w:basedOn w:val="12"/>
    <w:pPr>
      <w:ind w:left="4320"/>
    </w:pPr>
  </w:style>
  <w:style w:type="character" w:customStyle="1" w:styleId="1ff3">
    <w:name w:val="Строгий1"/>
    <w:basedOn w:val="13"/>
    <w:rPr>
      <w:b/>
    </w:rPr>
  </w:style>
  <w:style w:type="paragraph" w:customStyle="1" w:styleId="1ff4">
    <w:name w:val="Подзаголовок1"/>
    <w:basedOn w:val="12"/>
    <w:pPr>
      <w:spacing w:after="60"/>
      <w:jc w:val="center"/>
      <w:outlineLvl w:val="1"/>
    </w:pPr>
    <w:rPr>
      <w:rFonts w:ascii="Arial" w:hAnsi="Arial"/>
      <w:sz w:val="24"/>
    </w:rPr>
  </w:style>
  <w:style w:type="paragraph" w:customStyle="1" w:styleId="1ff5">
    <w:name w:val="Таблица ссылок1"/>
    <w:basedOn w:val="12"/>
    <w:next w:val="12"/>
    <w:pPr>
      <w:ind w:left="200" w:hanging="200"/>
    </w:pPr>
  </w:style>
  <w:style w:type="paragraph" w:customStyle="1" w:styleId="1ff6">
    <w:name w:val="Перечень рисунков1"/>
    <w:basedOn w:val="12"/>
    <w:next w:val="12"/>
    <w:pPr>
      <w:ind w:left="400" w:hanging="400"/>
    </w:pPr>
  </w:style>
  <w:style w:type="paragraph" w:customStyle="1" w:styleId="1ff7">
    <w:name w:val="Название1"/>
    <w:basedOn w:val="12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1ff8">
    <w:name w:val="Заголовок таблицы ссылок1"/>
    <w:basedOn w:val="12"/>
    <w:next w:val="12"/>
    <w:pPr>
      <w:spacing w:before="120"/>
    </w:pPr>
    <w:rPr>
      <w:rFonts w:ascii="Arial" w:hAnsi="Arial"/>
      <w:b/>
      <w:sz w:val="24"/>
    </w:rPr>
  </w:style>
  <w:style w:type="paragraph" w:customStyle="1" w:styleId="112">
    <w:name w:val="Оглавление 11"/>
    <w:basedOn w:val="12"/>
    <w:next w:val="12"/>
    <w:autoRedefine/>
  </w:style>
  <w:style w:type="paragraph" w:customStyle="1" w:styleId="219">
    <w:name w:val="Оглавление 21"/>
    <w:basedOn w:val="12"/>
    <w:next w:val="12"/>
    <w:autoRedefine/>
    <w:pPr>
      <w:ind w:left="200"/>
    </w:pPr>
  </w:style>
  <w:style w:type="paragraph" w:customStyle="1" w:styleId="317">
    <w:name w:val="Оглавление 31"/>
    <w:basedOn w:val="12"/>
    <w:next w:val="12"/>
    <w:autoRedefine/>
    <w:pPr>
      <w:ind w:left="400"/>
    </w:pPr>
  </w:style>
  <w:style w:type="paragraph" w:customStyle="1" w:styleId="415">
    <w:name w:val="Оглавление 41"/>
    <w:basedOn w:val="12"/>
    <w:next w:val="12"/>
    <w:autoRedefine/>
    <w:pPr>
      <w:ind w:left="600"/>
    </w:pPr>
  </w:style>
  <w:style w:type="paragraph" w:customStyle="1" w:styleId="515">
    <w:name w:val="Оглавление 51"/>
    <w:basedOn w:val="12"/>
    <w:next w:val="12"/>
    <w:autoRedefine/>
    <w:pPr>
      <w:ind w:left="800"/>
    </w:pPr>
  </w:style>
  <w:style w:type="paragraph" w:customStyle="1" w:styleId="611">
    <w:name w:val="Оглавление 61"/>
    <w:basedOn w:val="12"/>
    <w:next w:val="12"/>
    <w:autoRedefine/>
    <w:pPr>
      <w:ind w:left="1000"/>
    </w:pPr>
  </w:style>
  <w:style w:type="paragraph" w:customStyle="1" w:styleId="711">
    <w:name w:val="Оглавление 71"/>
    <w:basedOn w:val="12"/>
    <w:next w:val="12"/>
    <w:autoRedefine/>
    <w:pPr>
      <w:ind w:left="1200"/>
    </w:pPr>
  </w:style>
  <w:style w:type="paragraph" w:customStyle="1" w:styleId="811">
    <w:name w:val="Оглавление 81"/>
    <w:basedOn w:val="12"/>
    <w:next w:val="12"/>
    <w:autoRedefine/>
    <w:pPr>
      <w:ind w:left="1400"/>
    </w:pPr>
  </w:style>
  <w:style w:type="paragraph" w:customStyle="1" w:styleId="911">
    <w:name w:val="Оглавление 91"/>
    <w:basedOn w:val="12"/>
    <w:next w:val="12"/>
    <w:autoRedefine/>
    <w:pPr>
      <w:ind w:left="1600"/>
    </w:pPr>
  </w:style>
  <w:style w:type="paragraph" w:styleId="a3">
    <w:name w:val="Body Text"/>
    <w:basedOn w:val="a"/>
    <w:rPr>
      <w:sz w:val="24"/>
      <w:u w:val="single"/>
    </w:rPr>
  </w:style>
  <w:style w:type="paragraph" w:styleId="a4">
    <w:name w:val="Body Text Inden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2"/>
    </w:rPr>
  </w:style>
  <w:style w:type="paragraph" w:styleId="30">
    <w:name w:val="Body Text 3"/>
    <w:basedOn w:val="a"/>
    <w:rsid w:val="00FE073F"/>
    <w:pPr>
      <w:spacing w:after="120"/>
    </w:pPr>
    <w:rPr>
      <w:sz w:val="16"/>
      <w:szCs w:val="16"/>
    </w:rPr>
  </w:style>
  <w:style w:type="paragraph" w:customStyle="1" w:styleId="FR5">
    <w:name w:val="FR5"/>
    <w:rsid w:val="00FE073F"/>
    <w:pPr>
      <w:widowControl w:val="0"/>
      <w:spacing w:line="320" w:lineRule="auto"/>
      <w:jc w:val="both"/>
    </w:pPr>
    <w:rPr>
      <w:rFonts w:ascii="Arial" w:hAnsi="Arial"/>
      <w:sz w:val="12"/>
    </w:rPr>
  </w:style>
  <w:style w:type="paragraph" w:styleId="a5">
    <w:name w:val="header"/>
    <w:basedOn w:val="a"/>
    <w:rsid w:val="00FE073F"/>
    <w:pPr>
      <w:tabs>
        <w:tab w:val="center" w:pos="4153"/>
        <w:tab w:val="right" w:pos="8306"/>
      </w:tabs>
    </w:pPr>
  </w:style>
  <w:style w:type="paragraph" w:customStyle="1" w:styleId="FR2">
    <w:name w:val="FR2"/>
    <w:rsid w:val="009D6B6A"/>
    <w:pPr>
      <w:widowControl w:val="0"/>
      <w:autoSpaceDE w:val="0"/>
      <w:autoSpaceDN w:val="0"/>
      <w:adjustRightInd w:val="0"/>
      <w:spacing w:before="20"/>
      <w:ind w:left="80"/>
    </w:pPr>
    <w:rPr>
      <w:rFonts w:ascii="Arial" w:hAnsi="Arial"/>
      <w:b/>
      <w:sz w:val="12"/>
    </w:rPr>
  </w:style>
  <w:style w:type="character" w:styleId="a6">
    <w:name w:val="Hyperlink"/>
    <w:basedOn w:val="a0"/>
    <w:rsid w:val="00F50E06"/>
    <w:rPr>
      <w:rFonts w:ascii="Arial" w:hAnsi="Arial" w:cs="Arial" w:hint="default"/>
      <w:b/>
      <w:bCs/>
      <w:strike w:val="0"/>
      <w:dstrike w:val="0"/>
      <w:color w:val="002856"/>
      <w:sz w:val="18"/>
      <w:szCs w:val="18"/>
      <w:u w:val="none"/>
      <w:effect w:val="none"/>
    </w:rPr>
  </w:style>
  <w:style w:type="paragraph" w:styleId="a7">
    <w:name w:val="Balloon Text"/>
    <w:basedOn w:val="a"/>
    <w:semiHidden/>
    <w:rsid w:val="005D59E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9D4FDF"/>
    <w:pPr>
      <w:spacing w:before="100" w:beforeAutospacing="1" w:after="100" w:afterAutospacing="1"/>
    </w:pPr>
    <w:rPr>
      <w:color w:val="002856"/>
      <w:sz w:val="24"/>
      <w:szCs w:val="24"/>
    </w:rPr>
  </w:style>
  <w:style w:type="paragraph" w:customStyle="1" w:styleId="22">
    <w:name w:val="Çàãîëîâîê 2"/>
    <w:basedOn w:val="a"/>
    <w:next w:val="a"/>
    <w:rsid w:val="0037228A"/>
    <w:pPr>
      <w:keepNext/>
      <w:widowControl w:val="0"/>
      <w:autoSpaceDE w:val="0"/>
      <w:autoSpaceDN w:val="0"/>
      <w:adjustRightInd w:val="0"/>
    </w:pPr>
    <w:rPr>
      <w:i/>
      <w:iCs/>
    </w:rPr>
  </w:style>
  <w:style w:type="paragraph" w:styleId="a9">
    <w:name w:val="footer"/>
    <w:basedOn w:val="a"/>
    <w:link w:val="aa"/>
    <w:uiPriority w:val="99"/>
    <w:rsid w:val="00372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228A"/>
  </w:style>
  <w:style w:type="character" w:customStyle="1" w:styleId="apple-converted-space">
    <w:name w:val="apple-converted-space"/>
    <w:basedOn w:val="a0"/>
    <w:rsid w:val="008C53DC"/>
  </w:style>
  <w:style w:type="character" w:customStyle="1" w:styleId="FontStyle16">
    <w:name w:val="Font Style16"/>
    <w:rsid w:val="00681E96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rsid w:val="00681E96"/>
    <w:pPr>
      <w:widowControl w:val="0"/>
      <w:autoSpaceDE w:val="0"/>
      <w:autoSpaceDN w:val="0"/>
      <w:adjustRightInd w:val="0"/>
      <w:spacing w:line="278" w:lineRule="exact"/>
      <w:jc w:val="center"/>
    </w:pPr>
    <w:rPr>
      <w:sz w:val="24"/>
      <w:szCs w:val="24"/>
    </w:rPr>
  </w:style>
  <w:style w:type="character" w:customStyle="1" w:styleId="FontStyle15">
    <w:name w:val="Font Style15"/>
    <w:rsid w:val="00681E96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3383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7695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9406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0097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159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721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873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8966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000000"/>
          </w:divBdr>
        </w:div>
      </w:divsChild>
    </w:div>
    <w:div w:id="1915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2874</Words>
  <Characters>20140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 Фармакологическим</vt:lpstr>
    </vt:vector>
  </TitlesOfParts>
  <Company>RPR</Company>
  <LinksUpToDate>false</LinksUpToDate>
  <CharactersWithSpaces>22969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 Фармакологическим</dc:title>
  <dc:subject/>
  <dc:creator>Nbocharn</dc:creator>
  <cp:keywords/>
  <dc:description/>
  <cp:lastModifiedBy>Galina Luchnikova</cp:lastModifiedBy>
  <cp:revision>7</cp:revision>
  <cp:lastPrinted>2016-12-21T06:34:00Z</cp:lastPrinted>
  <dcterms:created xsi:type="dcterms:W3CDTF">2017-02-22T12:46:00Z</dcterms:created>
  <dcterms:modified xsi:type="dcterms:W3CDTF">2018-08-13T06:56:00Z</dcterms:modified>
</cp:coreProperties>
</file>